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9C_395/2007 vom 15. April 2008</w:t>
      </w:r>
    </w:p>
    <w:p>
      <w:r>
        <w:t>Bundesgericht, 2008-04-15, FR</w:t>
      </w:r>
    </w:p>
    <w:p>
      <w:r>
        <w:rPr>
          <w:b/>
        </w:rPr>
        <w:t xml:space="preserve">Quelle: </w:t>
      </w:r>
      <w:r>
        <w:t>https://mcp.opencaselaw.ch/entscheid/bger_9C_395_2007</w:t>
      </w:r>
    </w:p>
    <w:p>
      <w:r>
        <w:t>FR: TF 9C_395/2007 du 15 avril 2008</w:t>
      </w:r>
    </w:p>
    <w:p>
      <w:r>
        <w:t>IT: TF 9C_395/2007 del 15 aprile 2008</w:t>
      </w:r>
    </w:p>
    <w:p>
      <w:pPr>
        <w:pStyle w:val="Heading2"/>
      </w:pPr>
      <w:r>
        <w:t>Erwägungen</w:t>
      </w:r>
    </w:p>
    <w:p>
      <w:r>
        <w:rPr>
          <w:b/>
        </w:rPr>
        <w:t>E. 1</w:t>
      </w:r>
    </w:p>
    <w:p>
      <w:r>
        <w:t>Le recours en matière de droit public peut être formé pour violation du droit au sens des art. 95 et 96 LTF . Le Tribunal fédéral applique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Est réputée invalidité l'incapacité de gain totale ou partielle qui est présumée permanente ou de longue durée ( art. 4 LAI en corrélation avec l' art. 8 al. 1 LPGA ). On entend par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 art. 7 LPGA ).</w:t>
      </w:r>
    </w:p>
    <w:p>
      <w:r>
        <w:rPr>
          <w:b/>
        </w:rPr>
        <w:t>E. 2.2</w:t>
      </w:r>
    </w:p>
    <w:p>
      <w:r>
        <w:t>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 ATF 124 V 265 consid. 3c p. 268).</w:t>
      </w:r>
    </w:p>
    <w:p>
      <w:r>
        <w:t>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(sur l'ensemble de la question, cf. arrêt I 169/06 du 8 août 2006, consid. 2.2 et les arrêts cités).</w:t>
      </w:r>
    </w:p>
    <w:p>
      <w:r>
        <w:rPr>
          <w:b/>
        </w:rPr>
        <w:t>E. 2.3</w:t>
      </w:r>
    </w:p>
    <w:p>
      <w:r>
        <w:t>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(Thonney/Gammeter, Alcool: problèmes psychiatriques courants. « La boîte à outils du praticien », Revue médicale de la Suisse romande, 2004; 124: p. 415 ss; Roland Gammeter, Comorbidités psychiatriques associées à la dépendance à l'alcool, Forum Med Suisse, 2002; 23: p. 562 ss; Shivani/Goldsmith/Anthenelli, Alcoholism and psychiatric disorder: diagnostic challenges, Alcohol Research &amp; Health, 2002; 26(2): p. 90 ss; Christine Davidson, Identification et traitement des comorbidités psychiatriques associées à l'alcoolodépendance, Praxis 1999; 88: p. 1720).</w:t>
      </w:r>
    </w:p>
    <w:p>
      <w:r>
        <w:rPr>
          <w:b/>
        </w:rPr>
        <w:t>E. 2.4</w:t>
      </w:r>
    </w:p>
    <w:p>
      <w:r>
        <w:t>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(cf. arrêt I 731/02 du 25 juillet 2003, consid. 2.3).</w:t>
      </w:r>
    </w:p>
    <w:p>
      <w:r>
        <w:rPr>
          <w:b/>
        </w:rPr>
        <w:t>E. 3.1</w:t>
      </w:r>
    </w:p>
    <w:p>
      <w:r>
        <w:t>D'après les conclusions de l'expertise confiée aux médecins du Service psychiatrique de X.________, l'assuré souffrait d'un trouble de la personnalité évoluant vraisemblablement depuis son adolescence, qui avait pour conséquence une consommation d'alcool excessive, servant de palliatif à ses difficultés. En raison de cette double pathologie, l'assuré présentait depuis bientôt quinze ans une dégradation sociale, familiale et actuellement physique croissante. Les conséquences sur son comportement étaient importantes. Impulsif, l'assuré était incapable d'anticiper ses actions et d'agir en fonction des conséquences de ses actes. D'humeur instable, ses éclats de colère pouvaient dégénérer en violence verbale et physique. L'impulsivité qu'il ne parvenait que partiellement à contenir et les mouvements d'agressivité, voire de violence dont il pouvait faire preuve étaient la conséquence du trouble de la personnalité et étaient renforcés par la consommation excessive et quotidienne d'alcool (rapport du 14 juillet 2004).</w:t>
      </w:r>
    </w:p>
    <w:p>
      <w:r>
        <w:rPr>
          <w:b/>
        </w:rPr>
        <w:t>E. 3.2</w:t>
      </w:r>
    </w:p>
    <w:p>
      <w:r>
        <w:t>Le Tribunal des assurances du canton de Vaud a estimé que l'expertise expliquait clairement qu'un trouble de la personnalité était à l'origine de l'alcoolisme du recourant. S'agissant d'un alcoolisme secondaire à une pathologie antérieure, l'incapacité de travail découlait des effets combinés de ces deux pathologies. Compte tenu d'une incapacité de travail totale, l'assuré avait droit à l'octroi d'une rente entière d'invalidité.</w:t>
      </w:r>
    </w:p>
    <w:p>
      <w:r>
        <w:rPr>
          <w:b/>
        </w:rPr>
        <w:t>E. 3.3</w:t>
      </w:r>
    </w:p>
    <w:p>
      <w:r>
        <w:t>L'office AI conteste le bien-fondé des conclusions de l'expertise sur lesquelles se sont fondés les premiers juges. Sans remettre en cause la pertinence de ce diagnostic, il reproche aux experts de n'avoir pas explicité comment et pourquoi le trouble de la personnalité influait négativement sur la capacité de travail de l'assuré. De plus, les éléments anamnestiques recueillis n'étaient pas suffisants pour affirmer que l'alcoolisme de l'assuré était consécutif à son trouble de la personnalité. Afin de compléter ces lacunes et de faire une anamnèse détaillée et descriptive des faits dans le but de déterminer la chronologie et l'étiologie de l'alcoolisme, une audition médico-juridique a été mise en oeuvre. Il en est ressorti que l'assuré avait débuté sa consommation d'alcool dès son plus jeune âge dans le cadre familial, consommation qui avait augmenté de façon sporadique, puis s'était faite de plus en plus régulière pour entraîner une dépendance. Pour l'office AI, cette dépendance était à l'origine des débordements de l'assuré. La période d'incarcération subie par l'assuré avait démontré qu'en l'absence de toute possibilité de consommer de l'alcool, l'assuré ne présentait aucune atteinte à la santé invalidante nécessitant un suivi spécialisé, malgré son trouble de la personnalité.</w:t>
      </w:r>
    </w:p>
    <w:p>
      <w:r>
        <w:rPr>
          <w:b/>
        </w:rPr>
        <w:t>E. 4.1</w:t>
      </w:r>
    </w:p>
    <w:p>
      <w:r>
        <w:t>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On ne peut exclure, selon les cas, que le Tribunal fédéral retienne une interprétation divergente des conclusions de l'expertise ou, au besoin, ordonne une instruction complémentaire sous la forme d'une nouvelle expertise médicale (arrêt 4P.263/2003 du 1er avril 2004, consid. 2.1; voir également ATF 125 V 351 consid. 3b/aa p. 352 et les références).</w:t>
      </w:r>
    </w:p>
    <w:p>
      <w:r>
        <w:rPr>
          <w:b/>
        </w:rPr>
        <w:t>E. 4.2</w:t>
      </w:r>
    </w:p>
    <w:p>
      <w:r>
        <w:t>Les experts retiennent que l'assuré présente un trouble de la personnalité évoluant depuis l'adolescence, qui a pour conséquence une consommation excessive d'alcool. Cette double pathologie rend l'assuré incapable de travailler depuis le mois de septembre 2002 au moins. Pour autant, les conclusions de ce rapport ne suffisent pas à fonder un droit de l'assuré à des prestations de l'assurance-invalidité. Comme le relève à juste titre l'office AI, l'expertise - établie dans le contexte différent d'une enquête en interdiction civile et privation de liberté à des fins d'assistance - n'examine pas directement un certain nombre de questions utiles pour statuer sur la demande de prestations. Ainsi, elle n'apporte que peu d'informations utiles sur le degré de gravité intrinsèque du trouble de la personnalité et sur l'importance que celui-ci aurait joué - en sus de graves difficultés conjugales et professionnelles - dans le développement et la fixation de l'addiction. Au regard des imperfections de l'expertise et de la complexité de la situation, on ne saurait reprocher à l'office AI d'avoir procédé à une audition (médico-juridique) de l'assuré afin de retracer l'historique de sa consommation d'alcool (cf. supra consid. 2.3). Cela étant, des constatations pour l'essentiel superposables de l'expertise et de l'audition, il ressort que l'assuré a débuté dès son adolescence une consommation occasionnelle d'alcool, laquelle a augmenté avec l'apparition de difficultés professionnelles et conjugales au début des années 90. La situation s'est continuellement dégradée depuis lors. En raison du refus de payer la pension alimentaire de ses enfants, l'assuré a été condamné en 2002 à une peine de douze mois d'emprisonnement. L'assuré a souligné que le cadre carcéral lui a apporté durant cette période une stabilité tant sur le plan physique que psychique; il a notamment apprécié de pouvoir travailler et de ne pas souffrir de solitude. A la lumière de cette dernière circonstance, il appert qu'une abstinence prolongée est de nature à permettre à l'assuré de recouvrer une capacité de travail complète, sans que le trouble de la personnalité n'influe négativement sur celle-ci. Les circonstances de fait ne laissent d'ailleurs nullement supposer que ce trouble présente, en soi, un degré de gravité tel qu'il doive être assimilé à une atteinte à la santé psychique constitutif d'une invalidité. Ainsi, l'anamnèse ne fait pas état de difficultés psychologiques particulières rencontrées par l'assuré sur le plan social et professionnel durant la période qui a précédé l'installation de la dépendance. Que l'assuré ait montré par la suite des signes d'agressivité, notamment à l'encontre de sa famille, n'autorise pas encore à penser que ce comportement, qui s'inscrivait d'ailleurs dans un contexte familial et socio-professionnel difficile, était susceptible d'influer sur la capacité de travail de l'assuré. S'il est indubitable que l'alcoolisme a conduit l'assuré à une déchéance sociale prononcée, cet état ne saurait actuellement être assimilé à une atteinte à la santé à caractère invalidant. Sur le vu de ce qui précède, on ne peut tenir pour établi, au degré de la vraisemblance prépondérante, que l'assuré présente une atteinte à la santé psychique susceptible d'entraîner une invalidité. C'est ainsi à juste titre que, contrairement au point de vue des premiers juges, l'office AI a refusé la demande de prestations.</w:t>
      </w:r>
    </w:p>
    <w:p>
      <w:r>
        <w:rPr>
          <w:b/>
        </w:rPr>
        <w:t>E. 4.3</w:t>
      </w:r>
    </w:p>
    <w:p>
      <w:r>
        <w:t>Il n'y a pas lieu de prêter une attention particulière aux développements de la juridiction cantonale, en tant qu'ils ont pour but de confirmer, sinon de justifier, le diagnostic posé par les experts. Les premiers juges se livrent en effet à des conjectures qui relèvent de la science médicale et, en cela, outrepassent largement les limites de leurs compétences. A titre d'exemples, on retiendra que pour étayer les conclusions de l'expertise, les premiers juges procèdent à des constatations de fait insoutenables au regard de l'anamnèse, des observations cliniques et de la discussion figurant dans l'expertise (« Comme bon nombre de troubles de la personnalité, celui que présentait le recourant comportait une vulnérabilité accrue, du fait d'une capacité d'adaptation limitée en cas de débordement interne ou de circonstances de vie difficiles »), tiennent pour établi un diagnostic qui n'a été retenu par aucun des médecins consultés (existence de troubles dépressifs récurrents) ou encore fondent leur raisonnement sur des éléments tirés apparemment de la littérature médicale sans pour autant donner de références précises (« La notion de trouble de la personnalité structurel, constitutive de la personnalité, plus ou moins compensée pendant une période de vie avec une adaptation relative de l'individu, mais susceptible de décompenser progressivement en provoquant des symptômes variés (dépression, anxiété, recours aux toxiques, par exemple), est une notion de base, communément admise et largement documentée par une abondante littérature scientifique parue depuis une trentaine d'années »).</w:t>
      </w:r>
    </w:p>
    <w:p>
      <w:r>
        <w:rPr>
          <w:b/>
        </w:rPr>
        <w:t>E. 5</w:t>
      </w:r>
    </w:p>
    <w:p>
      <w:r>
        <w:t>L'office AI obtient gain de cause. La procédure étant onéreuse, les frais judiciaires sont à la charge de l'intimé qui succombe (art. 66 al. 1, première phrase, LTF en corrélation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