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394/2013 vom 27. September 2013</w:t>
      </w:r>
    </w:p>
    <w:p>
      <w:r>
        <w:t>Bundesgericht, 2013-09-27, FR</w:t>
      </w:r>
    </w:p>
    <w:p>
      <w:r>
        <w:rPr>
          <w:b/>
        </w:rPr>
        <w:t xml:space="preserve">Quelle: </w:t>
      </w:r>
      <w:r>
        <w:t>https://mcp.opencaselaw.ch/entscheid/bger_9C_394_2013</w:t>
      </w:r>
    </w:p>
    <w:p>
      <w:r>
        <w:t>FR: TF 9C 394/2013 du 27 septembre 2013</w:t>
      </w:r>
    </w:p>
    <w:p>
      <w:r>
        <w:t>IT: TF 9C 394/2013 del 27 settembre 2013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Se fondant sur les conclusions de l'expertise réalisée par la doctoresse S.________, la juridiction cantonale a retenu que la capacité de travail de l'intimé était nulle comme polisseur depuis octobre 2008 et totale dans une activité adaptée depuis juin 2009. Procédant ensuite à une comparaison des revenus en vue de déterminer le degré d'invalidité, elle a retenu, au titre de revenu sans invalidité, un montant de 101'554 fr. en se fondant sur le salaire que l'intimé aurait réalisé en 2009 s'il avait continué à travailler auprès de l'entreprise X.________ SA et, au titre de revenu d'invalide, un montant de 69'444 fr. en se fondant sur le salaire tel qu'il résultait des données statistiques résultant de l'Enquête suisse sur la structure des salaires (TA1, branche économique "fabrication d'instruments de précision, horlogerie", niveau de qualification 4). La comparaison de ces deux revenus donnait un taux d'invalidité de 32 %, insuffisant pour ouvrir le droit à une rente d'invalidité, mais suffisant pour ouvrir le droit à une mesure de reclassement dans le métier de bijoutier-sertisseur.</w:t>
      </w:r>
    </w:p>
    <w:p>
      <w:r>
        <w:rPr>
          <w:b/>
        </w:rPr>
        <w:t>E. 2.2</w:t>
      </w:r>
    </w:p>
    <w:p>
      <w:r>
        <w:t>L'office recourant reproche à la juridiction cantonale d'avoir procédé à une constatation manifestement inexacte des faits pertinents consécutive à une mauvaise appréciation des preuves et d'avoir violé le droit fédéral. En retenant un revenu sans invalidité de 101'554 fr., elle n'aurait pas tenu compte de ce que l'intimé avait été licencié pour des raisons indépendantes de son atteinte à la santé, si bien qu'il était manifestement erroné de retenir qu'il aurait continué à travailler pour le même employeur et, partant, à percevoir le même revenu. S'il avait été tenu compte du salaire probable qu'il aurait pu obtenir en qualité de polisseur en fin de carrière d'après les données statistiques résultant de l'Enquête suisse sur la structure des salaires, soit 78'506 fr., le degré d'invalidité se serait élevé à 12 %, taux insuffisant pour ouvrir le droit à une mesure de reclassement.</w:t>
      </w:r>
    </w:p>
    <w:p>
      <w:r>
        <w:rPr>
          <w:b/>
        </w:rPr>
        <w:t>E. 3.1</w:t>
      </w:r>
    </w:p>
    <w:p>
      <w:r>
        <w:t>Selon l' art. 17 al. 1 LAI , l'assuré a droit au reclassement dans une nouvelle profession si son invalidité rend cette mesure nécessaire et que sa capacité de gain peut ainsi, selon toute vraisemblance, être maintenue ou améliorée. Est réputé invalide au sens de l' 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130 V 488 consid. 4.2 p. 489 et les références).</w:t>
      </w:r>
    </w:p>
    <w:p>
      <w:r>
        <w:rPr>
          <w:b/>
        </w:rPr>
        <w:t>E. 3.2</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28a al. 1 LAI en corrélation avec l' art. 16 LPGA ). La comparaison des revenus s'effectue, en règle générale, en chiffrant aussi exactement que possible les montants de ces deux revenus et en les confrontant l'un avec l'autre, la différence permettant de calculer le taux d'invalidité.</w:t>
      </w:r>
    </w:p>
    <w:p>
      <w:r>
        <w:rPr>
          <w:b/>
        </w:rPr>
        <w:t>E. 3.3</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129 V 222 consid. 4.3.1 p. 224 et la référence). Lorsque le salaire réalisé en dernier lieu par la personne assurée est supérieur à la moyenne, il ne peut être pris en considération au titre de revenu sans invalidité que s'il est établi, au degré de la vraisemblance prépondérante, que la personne assurée aurait continué à le percevoir.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9C_5/2009 du 16 juillet 2009 consid. 2.3, in SVR 2009 IV n° 58 p. 181; voir également arrêt I 95/03 du 28 janvier 2004 consid. 4.2.2; Michel Valterio, Droit de l'assurance-vieillesse et survivants [AVS] et de l'assurance-invalidité [AI], 2011, n. 2082 p. 552; Ulrich Meyer, Bundesgesetz über die Invalidenversicherung [IVG], 2010, p. 301).</w:t>
      </w:r>
    </w:p>
    <w:p>
      <w:r>
        <w:rPr>
          <w:b/>
        </w:rPr>
        <w:t>E. 3.4</w:t>
      </w:r>
    </w:p>
    <w:p>
      <w:r>
        <w:t>Comme le met en évidence l'office recourant, il ressort d'un rapport de visite en entreprise établi le 2 septembre 2010 par le service de la réadaptation professionnelle de l'office recourant, que l'entreprise X.________ SA était contrainte de se séparer de son employé en raison de problèmes récurrents de comportement de ce dernier. Le licenciement, survenu après coup, est devenu effectif le 28 février 2011. Une première tentative de licenciement, mise en échec pour avoir été faite en temps inopportun, avait d'ailleurs déjà eu lieu au mois d'octobre 2008. Il apparaît ainsi que l'intimé a perdu son emploi pour des motifs étrangers à l'invalidité. Dans la mesure où il n'aurait pas poursuivi son activité au sein de l'entreprise qui l'employait, il n'était par conséquent pas conforme au droit fédéral de se fonder sur le salaire qu'il y aurait réalisé. Cela étant, on ne saurait suivre le raisonnement de l'office recourant, en tant que celui-ci se fonde dans le cas particulier sur les valeurs statistiques pour déterminer le montant du revenu sans invalidité. Le recours aux données établies selon le domaine d'activité (TA7), singulièrement sur le chapitre 10 (fabrication et transformation de produits), ne permet pas une évaluation concrète - telle que l'exige la jurisprudence - du montant que l'intimé était susceptible de gagner, compte tenu de son âge et de son expérience, comme polisseur débutant une activité pour le compte d'un nouvel employeur. La valeur retenue par l'office recourant recouvre en effet un éventail d'activités bien trop large pour qu'elle soit représentative de ce que l'intimé aurait pu gagner dans son activité habituelle de polisseur en bijouterie s'il n'avait pas été atteint dans sa santé. Compte tenu de son pouvoir d'examen limité, il n'appartient toutefois pas au Tribunal fédéral de déterminer le montant du revenu sans invalidité pertinent dans le cas d'espèce. Dans ces conditions, il y a lieu d'admettre le recours, d'annuler le jugement attaqué et de renvoyer la cause à la juridiction cantonale afin qu'elle se prononce à nouveau, après avoir complété l'état de fait - en requérant notamment des informations complémentaires concernant le salaire réalisable en qualité de polisseur en bijouterie - et calculé le degré d'invalidité de l'intimé, sur le droit de l'intimé à une mesure de reclassement.</w:t>
      </w:r>
    </w:p>
    <w:p>
      <w:r>
        <w:rPr>
          <w:b/>
        </w:rPr>
        <w:t>E. 4</w:t>
      </w:r>
    </w:p>
    <w:p>
      <w:r>
        <w:t>Nonobstant ce qui précède, l'office recourant estime par ailleurs que l'intimé disposerait déjà de possibilités de gain à peu près équivalentes à celles que lui offrait son ancienne activité dans des activités ne nécessitant pas de formation complémentaire, telle que celle de contrôleur de pièces, si bien qu'une mesure de reclassement ne se justifierait pas en l'espèce. Il n'apporte toutefois aucun élément à l'appui de ses allégations qui démontrerait que l'activité de contrôleur ne nécessite aucune formation complémentaire - allant au-delà d'une simple mise au courant initiale - et est susceptible de procurer une possibilité de gain à peu près équivalente à celle que lui offrait son ancienne activité (sur la notion de reclassement, voir arrêt 9C_81/2013 du 3 juillet 2013 consid. 5.4 et la référence, destiné à la publication). Dans ces conditions, il n'y a pas lieu d'examiner plus avant la pertinence du grief soulevé par l'office recourant.</w:t>
      </w:r>
    </w:p>
    <w:p>
      <w:r>
        <w:rPr>
          <w:b/>
        </w:rPr>
        <w:t>E. 5</w:t>
      </w:r>
    </w:p>
    <w:p>
      <w:r>
        <w:t>Compte tenu de l'issue du litige, les frais de la procédure sont mis à la charge de l'intimé, qui succombe (art. 66 al. 1 en corrélation avec l' art. 65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