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394/2009 vom 8. Januar 2010</w:t>
      </w:r>
    </w:p>
    <w:p>
      <w:r>
        <w:t>Bundesgericht, 2010-01-08, FR</w:t>
      </w:r>
    </w:p>
    <w:p>
      <w:r>
        <w:rPr>
          <w:b/>
        </w:rPr>
        <w:t xml:space="preserve">Quelle: </w:t>
      </w:r>
      <w:r>
        <w:t>https://mcp.opencaselaw.ch/entscheid/bger_9C_394_2009</w:t>
      </w:r>
    </w:p>
    <w:p>
      <w:r>
        <w:t>FR: TF 9C 394/2009 du 8 janvier 2010</w:t>
      </w:r>
    </w:p>
    <w:p>
      <w:r>
        <w:t>IT: TF 9C 394/2009 del 8 gennaio 2010</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1.3</w:t>
      </w:r>
    </w:p>
    <w:p>
      <w:r>
        <w:t>En ce qui concerne l'évaluation de l'invalidité, les principes relatifs au pouvoir d'examen développés dans l' ATF 132 V 393 consid. 3 p. 397 ss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Dans la mesure cependant où il en va de l'évaluation de l'exigibilité d'une activité professionnelle au regard de l'expérience générale de la vie, il s'agit d'une question de droit qui peut être examinée librement en instance fédérale.</w:t>
      </w:r>
    </w:p>
    <w:p>
      <w:r>
        <w:rPr>
          <w:b/>
        </w:rPr>
        <w:t>E. 2</w:t>
      </w:r>
    </w:p>
    <w:p>
      <w:r>
        <w:t>Dans un arrêt du 7 octobre 2009 (9C_236/2009), le Tribunal fédéral a rappelé les principes applicables en matière d'évaluation de l'invalidité d'un assuré exerçant une activité lucrative indépendante. Il convient d'en reproduire les consid. 3.1 à 3.3.</w:t>
      </w:r>
    </w:p>
    <w:p>
      <w:r>
        <w:rPr>
          <w:b/>
        </w:rPr>
        <w:t>E. 2.1</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(du 1er janvier 2004 au 31 décembre 2007 : art. 28 al. 2 LAI en corrélation avec l' art. 16 LPGA ; depuis le 1er janvier 2008 : art. 28a al. 1 LAI en corrélation avec l' art. 16 LPGA ).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310 consid. 3a p. 313 et les références).</w:t>
      </w:r>
    </w:p>
    <w:p>
      <w:r>
        <w:rPr>
          <w:b/>
        </w:rPr>
        <w:t>E. 2.2</w:t>
      </w:r>
    </w:p>
    <w:p>
      <w:r>
        <w:t>Si l'on ne peut déterminer ou évaluer sûrement les deux revenus en cause, il faut, en s'inspirant de la méthode spécifique pour personnes sans activité lucrative (du 1er janvier 2004 au 31 décembre 2007 : art. 28 al. 2bis LAI en corrélation avec les art. 27 RAI et 8 al. 3 LPGA; depuis le 1er janvier 2008 :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 ATF 128 V 29 consid. 1 p. 30 et les références, spéc. p. 31 in fine).</w:t>
      </w:r>
    </w:p>
    <w:p>
      <w:r>
        <w:rPr>
          <w:b/>
        </w:rPr>
        <w:t>E. 2.3</w:t>
      </w:r>
    </w:p>
    <w:p>
      <w:r>
        <w:t>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I 83/97 du 16 octobre 1997 consid. 2c, in VSI 1998 p. 121, et I 432/97 du 30 mars 1998 consid. 4a, in VSI 1998 p. 255).</w:t>
      </w:r>
    </w:p>
    <w:p>
      <w:r>
        <w:rPr>
          <w:b/>
        </w:rPr>
        <w:t>E. 2.4</w:t>
      </w:r>
    </w:p>
    <w:p>
      <w:r>
        <w:t>Le point de savoir selon quelle méthode le degré d'invalidité d'un assuré doit être évalué est une question de droit sur laquelle le Tribunal fédéral se prononce librement. En l'espèce, pour déterminer le taux d'invalidité de l'intimé, les juges cantonaux ont utilisé la méthode extraordinaire d'évaluation, dont l'application au cas présent n'est pas contestée par les parties. Pour fixer le taux d'incapacité globale de travail de l'assuré, ils ont retenu qu'il travaillait, avant l'atteinte à la santé, à raison de 30 % dans une activité de direction, de 40 % dans une activité manuelle et de 30 % dans une activité de stockage et livraison des matériaux. Ce partage du temps de travail entre les différentes activités est admis par les parties, comme l'est également le fait que l'intimé est incapable de travailler à 70 % dans les activités manuelles, de stockage et de livraison des matériaux.</w:t>
      </w:r>
    </w:p>
    <w:p>
      <w:r>
        <w:rPr>
          <w:b/>
        </w:rPr>
        <w:t>E. 3</w:t>
      </w:r>
    </w:p>
    <w:p>
      <w:r>
        <w:t>Est seule contestée l'incapacité de travail dans l'activité administrative et de direction.</w:t>
      </w:r>
    </w:p>
    <w:p>
      <w:r>
        <w:rPr>
          <w:b/>
        </w:rPr>
        <w:t>E. 3.1</w:t>
      </w:r>
    </w:p>
    <w:p>
      <w:r>
        <w:t>Dans sa décision, le recourant a considéré que la capacité de travail de l'intimé était entière dans l'activité d'administrateur, en se basant sur l'avis de son enquêtrice qui estime qu'il n'existe pas de réelles limitations dans le travail administratif. Dans sa prise de position du 14 janvier 2008 sur le recours cantonal, le recourant a précisé que le SMR, dans son rapport du 7 novembre 2006, avait retenu un taux d'incapacité de travail entre 30 et 50 % dans une activité administrative à 100 %. Il en déduit donc que la capacité de travail est entière jusqu'à un taux d'activité de 50 %.</w:t>
      </w:r>
    </w:p>
    <w:p>
      <w:r>
        <w:rPr>
          <w:b/>
        </w:rPr>
        <w:t>E. 3.2</w:t>
      </w:r>
    </w:p>
    <w:p>
      <w:r>
        <w:t>Les juges cantonaux ont retenu que les tâches administratives obligeaient l'intimé à faire de longs déplacements en voiture pour la recherche de clientèle et à se rendre sur les chantiers pour établir les devis, ce qui le contraignait à marcher, à monter et descendre des escaliers, alors que ces mouvements sont contre-indiqués par les limitations fonctionnelles retenues par le docteur U.________. De plus, selon les juges cantonaux, celui-ci a évalué la capacité de travail en absence de poussée inflammatoire. Compte tenu de ces éléments, ils ont admis un taux d'incapacité de travail de 30 %, comme préconisé par le docteur F.________. Le constat de la juridiction cantonale repose sur une appréciation concrète des preuves. S'agissant d'une question de fait, il y a lieu d'examiner si la capacité de travail de l'intimé dans l'activité administrative a été établie de façon manifestement inexacte ou en violation du droit.</w:t>
      </w:r>
    </w:p>
    <w:p>
      <w:r>
        <w:rPr>
          <w:b/>
        </w:rPr>
        <w:t>E. 3.3</w:t>
      </w:r>
    </w:p>
    <w:p>
      <w:r>
        <w:t>Dans un premier argument, le recourant reproche à l'autorité cantonale d'avoir admis, sur la base des déclarations faites par le docteur F.________ à l'audience du 2 décembre 2008, que le taux d'incapacité de travail de l'assuré dans son activité administrative était calculé sur la base du temps effectivement consacré par celui-ci à cette partie de son activité. Pour le recourant, le docteur F.________ n'a parlé que de l'activité de peintre et de celle en rapport avec la gestion des stocks et la livraison. Il faut donc considérer que l'évaluation de l'incapacité de travail en fonction du temps consacré ne se rapporte qu'aux activités mentionnées au procès-verbal de l'audience mais pas à l'activité administrative.</w:t>
      </w:r>
    </w:p>
    <w:p>
      <w:r>
        <w:rPr>
          <w:b/>
        </w:rPr>
        <w:t>E. 3.4</w:t>
      </w:r>
    </w:p>
    <w:p>
      <w:r>
        <w:t>Si les déclarations du docteur F.________ ne mentionnent pas expressément l'activité de direction, il ressort de l'ensemble de celles-ci que ce praticien a examiné chaque type d'activité de son patient y compris celle à laquelle il ne fait pas allusion. En effet, le docteur F.________ a précisé qu'il lui était difficile de « morceler précisément les différentes activités » et qu'il s'était basé sur la description que son patient lui avait faite d'une journée habituelle. En conclusion, il a mentionné que l'intimé pouvait exercer son activité « à raison de trois à quatre heures par jour (tous types d'activité confondus) ». Le fait que le médecin du SMR (avis du 12 janvier 2009) considère que le docteur F.________ a oublié de se prononcer sur l'activité administrative constitue une appréciation personnelle du dossier qui n'a aucune valeur probante faute d'être étayée.</w:t>
      </w:r>
    </w:p>
    <w:p>
      <w:r>
        <w:rPr>
          <w:b/>
        </w:rPr>
        <w:t>E. 4.1</w:t>
      </w:r>
    </w:p>
    <w:p>
      <w:r>
        <w:t>Dans un second argument, le recourant reproche à l'autorité cantonale de s'être fondée sur l'avis du docteur F.________, médecin traitant, plutôt que sur celui du médecin du SMR et, ce faisant, de s'être écartée sans motif valable de l'enquête pour activité professionnelle indépendante qui a pleine valeur probante.</w:t>
      </w:r>
    </w:p>
    <w:p>
      <w:r>
        <w:rPr>
          <w:b/>
        </w:rPr>
        <w:t>E. 4.2</w:t>
      </w:r>
    </w:p>
    <w:p>
      <w:r>
        <w:t>Contrairement à ce que prétend le recourant, il n'y a pas de discordance entre l'avis du docteur F.________, lorsqu'il retient une incapacité de travail de 30 % dans l'activité administrative et celui du docteur U.________, médecin du SMR, qui précise que la capacité de travail exigible, dans l'activité habituelle en tant qu'administrateur de sa propre entreprise (recherche de clients, administration de l'entreprise, facturation, activité administrative) est de 50 à 70 % en fonction de l'état inflammatoire. Dans une appréciation complémentaire, le docteur U.________ confirme qu'en l'absence de poussée inflammatoire, l'activité administrative peut être exercée à 70 % en raison des limitations fonctionnelles nombreuses et que, dans une telle activité, la capacité de travail est de 100 % avec une diminution de rendement de 30 % pour tenir compte des limitations fonctionnelles. Les éléments invoqués par le recourant ne permettent donc pas d'admettre que les juges cantonaux auraient retenu, de manière manifestement erronée, que l'intimé avait une capacité de travail réduite de 30 % dans son activité administrative.</w:t>
      </w:r>
    </w:p>
    <w:p>
      <w:r>
        <w:rPr>
          <w:b/>
        </w:rPr>
        <w:t>E. 5.1</w:t>
      </w:r>
    </w:p>
    <w:p>
      <w:r>
        <w:t>Le recourant reproche aux juges cantonaux une violation du droit fédéral par le fait de n'avoir pas appliqué correctement les règles jurisprudentielles sur l'exigibilité et l'obligation de réduire le dommage. Selon le recourant, l'assuré, avant de pouvoir prétendre des prestations de l'assurance-invalidité, devait réorganiser ses activités de manière adéquate, c'est-à-dire se charger des activités administratives compatibles avec son handicap. Compte tenu de l'importance de l'entreprise, le recourant considère que V.________ doit trouver un 30 % d'activités administratives adaptées. Il reproche aux juges cantonaux de ne pas avoir examiné cette question.</w:t>
      </w:r>
    </w:p>
    <w:p>
      <w:r>
        <w:rPr>
          <w:b/>
        </w:rPr>
        <w:t>E. 5.2</w:t>
      </w:r>
    </w:p>
    <w:p>
      <w:r>
        <w:t>L'obligation de l'assuré de réduire le dommage a également été abordée dans l'arrêt 9C_236/2009 précité, aux consid. 4.1 à 4.3 qui sont repris ici.</w:t>
      </w:r>
    </w:p>
    <w:p>
      <w:r>
        <w:rPr>
          <w:b/>
        </w:rPr>
        <w:t>E. 5.2.1</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I 750/04 du 5 avril 2006 consid. 5.3, in SVR 2007 IV n° 1 p. 1; I 11/00 du 22 août 2001 consid. 5a/bb, in VSI 2001 p. 274).</w:t>
      </w:r>
    </w:p>
    <w:p>
      <w:r>
        <w:rPr>
          <w:b/>
        </w:rPr>
        <w:t>E. 5.2.2</w:t>
      </w:r>
    </w:p>
    <w:p>
      <w:r>
        <w:t>Ainsi doit-on pouvoir exiger de celui qui requiert des prestations qu'ils prennent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 ATF 113 V 22 consid. 4d p. 32; MARC HÜRZELER, Prävention im Haftpflicht- und Sozialversicherungsrecht, in Prävention im Recht, 2007, p. 172 sv.).</w:t>
      </w:r>
    </w:p>
    <w:p>
      <w:r>
        <w:rPr>
          <w:b/>
        </w:rPr>
        <w:t>E. 5.2.3</w:t>
      </w:r>
    </w:p>
    <w:p>
      <w:r>
        <w:t>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I 840/81 du 26 avril 1982, in RCC 1983 p. 246; voir également arrêt 8C_748/2008 du 10 juin 2009 consid. 4).</w:t>
      </w:r>
    </w:p>
    <w:p>
      <w:r>
        <w:rPr>
          <w:b/>
        </w:rPr>
        <w:t>E. 5.3</w:t>
      </w:r>
    </w:p>
    <w:p>
      <w:r>
        <w:t>En l'espèce, les juges cantonaux n'ont pas examiné cette question, alors que cela était indispensable pour statuer sur le taux d'invalidité. Le Tribunal fédéral n'est pas en mesure de se prononcer en lieu et place des juges cantonaux car aucune administration de preuve n'a été faite pour déterminer les travaux administratifs exigibles que l'intimé peut effectuer dans son entreprise et la possibilité de les exécuter en tenant compte de sa capacité de travail globale. Il y a dès lors lieu de renvoyer l'affaire à la juridiction cantonale pour examiner si l'assuré est en mesure de réorganiser ses activités de façon adéquate afin de réduire son taux d'invalidité, respectivement de déterminer le taux d'incapacité de travail résiduelle dans l'activité administrative.</w:t>
      </w:r>
    </w:p>
    <w:p>
      <w:r>
        <w:rPr>
          <w:b/>
        </w:rPr>
        <w:t>E. 6</w:t>
      </w:r>
    </w:p>
    <w:p>
      <w:r>
        <w:t>Le recours est admis et l'affaire renvoyée à la juridiction cantonale pour complément d'instruction et nouveau jugement.</w:t>
      </w:r>
    </w:p>
    <w:p>
      <w:r>
        <w:rPr>
          <w:b/>
        </w:rPr>
        <w:t>E. 7</w:t>
      </w:r>
    </w:p>
    <w:p>
      <w:r>
        <w:t>La requête tendant à la restitution de l'effet suspensif au recours est devenue sans objet dans la mesure où le recours est admis et le jugement attaqué est annulé.</w:t>
      </w:r>
    </w:p>
    <w:p>
      <w:r>
        <w:rPr>
          <w:b/>
        </w:rPr>
        <w:t>E. 8</w:t>
      </w:r>
    </w:p>
    <w:p>
      <w:r>
        <w:t>La procédure est onéreuse ( art. 62 LTF ). L'intimé, qui succombe, doit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