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9C_394/2008 vom 12. Februar 2009</w:t>
      </w:r>
    </w:p>
    <w:p>
      <w:r>
        <w:t>Bundesgericht, 2009-02-12, FR</w:t>
      </w:r>
    </w:p>
    <w:p>
      <w:r>
        <w:rPr>
          <w:b/>
        </w:rPr>
        <w:t xml:space="preserve">Quelle: </w:t>
      </w:r>
      <w:r>
        <w:t>https://mcp.opencaselaw.ch/entscheid/bger_9C_394_2008</w:t>
      </w:r>
    </w:p>
    <w:p>
      <w:r>
        <w:t>FR: TF 9C_394/2008 du 12 février 2009</w:t>
      </w:r>
    </w:p>
    <w:p>
      <w:r>
        <w:t>IT: TF 9C_394/2008 del 12 febbraio 2009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La recourante invoque en premier lieu une violation de son droit d'être entendue, en ce sens que la juridiction cantonale ne lui aurait pas donné l'occasion de se prononcer sur la substitution de motifs à laquelle elle envisageait de procéder. D'ordre formel, ce grief doit être examiné en premier lieu, car son admission pourrait amener le tribunal à renvoyer la cause sans en examiner le fond ( ATF 127 V 431 consid. 3d/aa p. 437 et la référence).</w:t>
      </w:r>
    </w:p>
    <w:p>
      <w:r>
        <w:rPr>
          <w:b/>
        </w:rPr>
        <w:t>E. 2.2</w:t>
      </w:r>
    </w:p>
    <w:p>
      <w:r>
        <w:t>Le droit d'être entendu, tel qu'il est garanti par l' art. 29 al. 2 Cst. ,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(cf. ATF 126 V 130 consid. 2b p. 132). Il s'agit d'une concrétisation du droit à une procédure équitable, consacré par l' art. 29 al. 1 Cst. , qui correspond à la garantie similaire que l'art. 6 ch. CEDH confère à l'égard des autorités judiciaires proprement dites. Le Tribunal fédéral a précisé que le droit d'être entendu doit notamment être reconnu et respecté lorsque le juge envisage de fonder sa décision sur une norme ou un motif juridique non évoqué dans la procédure antérieure et dont aucune des parties en présence ne s'est prévalue et ne pouvait supputer la pertinence dans le cas particulier ( ATF 128 V 272 consid. 5b/bb p. 278 et les références).</w:t>
      </w:r>
    </w:p>
    <w:p>
      <w:r>
        <w:rPr>
          <w:b/>
        </w:rPr>
        <w:t>E. 2.3</w:t>
      </w:r>
    </w:p>
    <w:p>
      <w:r>
        <w:t>En l'espèce, le Tribunal cantonal des assurances sociales n'a pas averti formellement la recourante de la substitution de motifs envisagée et, partant, ne lui a pas imparti de délai pour se déterminer. Dans la mesure où la reconsidération éventuelle de la décision initiale d'octroi de la rente n'avait jamais été évoquée au cours de la procédure de révision, l'omission commise est constitutive d'une violation du droit d'être entendu au sens de la jurisprudence précitée, violation qui ne saurait être réparée devant la Cour de céans en raison de son pouvoir d'examen limité. Dans ces conditions, le recours doit être admis et le jugement attaqué annulé, sans examen des autres griefs soulevés dans le recours. La cause doit être renvoyée au Tribunal cantonal des assurances sociales pour qu'il statue à nouveau, après avoir donné la possibilité à la recourante de se déterminer sur la substitution de motifs envisagée.</w:t>
      </w:r>
    </w:p>
    <w:p>
      <w:r>
        <w:rPr>
          <w:b/>
        </w:rPr>
        <w:t>E. 3</w:t>
      </w:r>
    </w:p>
    <w:p>
      <w:r>
        <w:t>En principe, des frais judiciaires et des dépens ne peuvent être mis à la charge d'un canton s'il s'adresse au Tribunal fédéral dans l'exercice des attributions officielles sans que son intérêt patrimonial soit en cause ou si ses décisions font l'objet d'un recours ( art. 66 al. 4 LTF ). Toutefois, il y a lieu de déroger à ce principe lorsque la décision attaquée viole de manière qualifiée les règles d'application de la justice et cause de ce fait des frais aux parties ( art. 66 al. 3 LTF ; ATF 133 V 402 consid. 5 p. 407 et les arrêts cités; HANSJÖRG SEILER, in Bundesgerichtsgesetz [BGG], 2007, n° 43 ad art. 66; THOMAS GEISER, in Basler Kommentar, Bundesgerichtsgesetz, 2008, n° 25 ad art. 66). En n'informant pas la recourante de la substitution de motifs envisagée, le Tribunal cantonal des assurances sociales a violé de manière qualifiée son droit d'être entendue, ce qui justifie de mettre les frais de justice et les dépens à la charge de la République et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