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9C_393/2014 vom 18. September 2014</w:t>
      </w:r>
    </w:p>
    <w:p>
      <w:r>
        <w:t>Bundesgericht, 2014-09-18, DE</w:t>
      </w:r>
    </w:p>
    <w:p>
      <w:r>
        <w:rPr>
          <w:b/>
        </w:rPr>
        <w:t xml:space="preserve">Quelle: </w:t>
      </w:r>
      <w:r>
        <w:t>https://mcp.opencaselaw.ch/entscheid/bger_9C_393_2014</w:t>
      </w:r>
    </w:p>
    <w:p>
      <w:r>
        <w:t>FR: TF 9C_393/2014 du 18 septembre 2014</w:t>
      </w:r>
    </w:p>
    <w:p>
      <w:r>
        <w:t>IT: TF 9C_393/2014 del 18 settembre 2014</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festgestellt, der Versicherte habe sich nach dem im September 2008 erfolgten Unfall dreimal einer Operation unterzogen und sei in diesem Rahmen weitgehend arbeitsunfähig gewesen. Nach der letzten Operation habe sich sein Zustand indessen insoweit gebessert, als seit Juli 2011 für angepasste Tätigkeiten wieder eine uneingeschränkte Arbeitsfähigkeit bestehe. Für den Einkommensvergleich hat sie das Valideneinkommen auf Fr. 81'366.- und das Invalideneinkommen auf Fr. 55'719.30 festgesetzt. Beim resultierenden Invaliditätsgrad von 32 % hat sie den Anspruch auf eine Invalidenrente verneint resp. deren Aufhebung auf den 30. November 2011 bestätigt.</w:t>
      </w:r>
    </w:p>
    <w:p>
      <w:r>
        <w:rPr>
          <w:b/>
        </w:rPr>
        <w:t>E. 3.1.1</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9C_851/2012 vom 5. März 2013 E. 2.3.2; 8C_5/2010 vom 24. März 2010 E. 1.2).</w:t>
      </w:r>
    </w:p>
    <w:p>
      <w:r>
        <w:rPr>
          <w:b/>
        </w:rPr>
        <w:t>E. 3.1.3</w:t>
      </w:r>
    </w:p>
    <w:p>
      <w:r>
        <w:t>Sowohl das Verwaltungsverfahren wie auch der kantonale Sozialversicherungsprozess sind vom Untersuchungsgrundsatz beherrscht ( Art. 43 Abs. 1 und Art. 61 lit. c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136 I 229 E. 5.3 S. 236 ;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8C_47/2012 vom 12. November 2012 E. 4 mit weiteren Hinweisen).</w:t>
      </w:r>
    </w:p>
    <w:p>
      <w:r>
        <w:rPr>
          <w:b/>
        </w:rPr>
        <w:t>E. 3.2</w:t>
      </w:r>
    </w:p>
    <w:p>
      <w:r>
        <w:t>Die vorinstanzliche Feststellung der Arbeitsfähigkeit ab Juli 2011 beruht auf dem Bericht des SUVA-Kreisarztes Dr. med. B.________ vom 25. Juli 2011, den das kantonale Gericht für nachvollziehbar begründet gehalten hat. Der Kreisarzt habe u.a. explizit festgehalten, die unfallfremden Rückenbeschwerden führten nicht zu wesentlichen zusätzlichen Beeinträchtigungen. Seine Einschätzung stimme mit jener der behandelnden Ärzte von der Klinik C.________ überein, die nach einer Untersuchung der Wirbelsäule eine uneingeschränkte Arbeitsfähigkeit für leichte Tätigkeiten attestierten (Bericht vom 4. Mai 2011). Im Bericht der Rheumaklinik des Spitals D.________ vom 22. März 2012, der eine um 25 % eingeschränkte Arbeitsfähigkeit ausweist, seien keine neuen relevanten Befunde ersichtlich. Indessen sei darin festgehalten worden, bei optimaler Kooperations- und Leistungsbereitschaft sei längerfristig eine volle Arbeitsfähigkeit erreichbar; zudem beziehe sich die attestierte Einschränkung auf leichte bis mittelschwere Tätigkeiten, während der Kreisarzt lediglich körperlich leichte Arbeiten für vollumfänglich zumutbar erachtet habe. Dr. med. E.________, Facharzt für Neurologie, habe im Bericht vom 14. August 2012 in Bezug auf die Unfallfolgen eine Einschränkung von 50 % attestiert, indessen fehle eine Begründung für diese von der bisherigen Aktenlage abweichende Auffassung.</w:t>
      </w:r>
    </w:p>
    <w:p>
      <w:r>
        <w:t>Was psychische Beeinträchtigungen anbelangt, so sei in den Berichten der Rheumaklinik des Spitals D.________ vom 22. März und 25. Juli 2012 eine mittelgradige depressive Episode mit somatischem Syndrom (ICD-10: F32.11) und im Bericht der Klinik für Psychiatrie und Psychotherapie des Spitals D.________ vom 17. September 2012 eine leichte depressive Episode (ICD-10: F32.0) diagnostiziert worden. Bei einer depressiven Episode handle es sich definitionsgemäss um ein vorübergehendes Leiden, das nicht geeignet sei, eine leistungsspezifische Invalidität zu begründen. Mit Blick auf die fehlende Behandlung und die aktive Freizeitgestaltung des Beschwerdeführers sei eine invalidenversicherungsrechtlich relevante Einschränkung der Arbeitsfähigkeit nicht überwiegend wahrscheinlich und bestehe auch keine Veranlassung zu weiteren Abklärungen.</w:t>
      </w:r>
    </w:p>
    <w:p>
      <w:r>
        <w:rPr>
          <w:b/>
        </w:rPr>
        <w:t>E. 3.3</w:t>
      </w:r>
    </w:p>
    <w:p>
      <w:r>
        <w:t>Inwiefern die vorinstanzliche Beweiswürdigung und die daraus gezogenen Schlüsse offensichtlich unrichtig (vgl. E. 3.1.2) sein sollen, wird nicht qualifiziert (vgl. Art. 106 Abs. 2 BGG ) dargelegt und ist auch nicht ersichtlich. Im Gegenteil hat das kantonale Gericht einleuchtend begründet, weshalb es auf die Einschätzung des Kreisarztes und nicht auf jene anderer Ärzte abgestellt hat. Soweit sich der Beschwerdeführer auf den Untersuchungsgrundsatz und einen "Anspruch auf ein Gutachten gem. Art. 44 ATSG " beruft, kann er nichts für sich ableiten: Einerseits besteht auch im Rahmen der Sachverhaltsabklärung von Amtes wegen nicht von vornherein ein Anspruch auf Anordnung einer Expertise. Anderseits ist nicht ersichtlich, weshalb der vorinstanzliche Verzicht auf weitere Abklärungen nicht in pflichtgemässer antizipierender Beweiswürdigung (E. 3.1.3) erfolgt sein soll. Ohnehin beschränkt sich der Beschwerdeführer im Wesentlichen darauf, lediglich die medizinischen Unterlagen abweichend von der Vorinstanz zu würdigen und daraus andere Schlüsse zu ziehen, was nicht ausreicht (Urteile 9C_688/2007 vom 22. Januar 2008 E. 2.3 und 4A_28/2007 vom 30. Mai 2007 E. 1.3 [in BGE 133 III 421 nicht publiziert]).</w:t>
      </w:r>
    </w:p>
    <w:p>
      <w:r>
        <w:rPr>
          <w:b/>
        </w:rPr>
        <w:t>E. 3.4</w:t>
      </w:r>
    </w:p>
    <w:p>
      <w:r>
        <w:t>Nach dem Gesagten bleiben die vorinstanzliche Beweiswürdigung und die darauf beruhenden Feststellungen betreffend die Arbeitsfähigkeit für das Bundesgericht verbindlich (E. 1). Damit ist auch ein Revisionsgrund im Sinne von Art. 17 Abs. 1 ATSG ausgewiesen, weshalb die Befristung der rückwirkend zugesprochenen Rente zulässig ist (vgl. BGE 133 V 263 E. 6.1 S. 263 f.).</w:t>
      </w:r>
    </w:p>
    <w:p>
      <w:r>
        <w:rPr>
          <w:b/>
        </w:rPr>
        <w:t>E. 4.1.1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Wird - wie im konkreten Fall - das Invalideneinkommen auf der Grundlage von statistischen Durchschnittswerten ermittelt, ist der entsprechende Ausgangswert (Tabellenlohn) um maximal 25 % zu kürzen, wenn persönliche und berufliche Merkmale wie Art und Ausmass der Behinderung, Lebensalter, Dienstjahre, Nationalität resp. Aufenthaltskategorie oder Beschäftigungsgrad Auswirkungen auf die Lohnhöhe haben und die versicherte Person deswegen die verbliebene Arbeitsfähigkeit auch auf einem ausgeglichenen Arbeitsmarkt nur mit unterdurchschnittlichem erwerblichem Erfolg verwerten kann ( BGE 135 V 297 E. 5.2 S. 301; 126 V 75 E. 5b/aa-cc S. 80).</w:t>
      </w:r>
    </w:p>
    <w:p>
      <w:r>
        <w:rPr>
          <w:b/>
        </w:rPr>
        <w:t>E. 4.1.2</w:t>
      </w:r>
    </w:p>
    <w:p>
      <w:r>
        <w:t>Die Frage, ob ein (behinderungsbedingt oder anderweitig begründeter) Abzug vorzunehmen sei, ist eine Rechtsfrage, während jene nach der Höhe des Abzuges eine typische Ermessensfrage darstellt, deren Beantwortung letztinstanzlicher Korrektur nur mehr dort zugänglich ist, wo das kantonale Gericht das Ermessen rechtsfehlerhaft ausgeübt hat, also Ermessensüberschreitung, -missbrauch oder -unterschreitung vorliegt (vgl. BGE 132 V 393 E. 3.3 in fine S. 399; Urteil 9C_973/2008 vom 19. Januar 2009 E. 3).</w:t>
      </w:r>
    </w:p>
    <w:p>
      <w:r>
        <w:rPr>
          <w:b/>
        </w:rPr>
        <w:t>E. 4.2</w:t>
      </w:r>
    </w:p>
    <w:p>
      <w:r>
        <w:t>Die Vorinstanz hat für die Ermittlung des Invalideneinkommens einen Tabellenlohn herangezogen (LSE 2010, Tabelle TA1, Total Männer, Anforderungsniveau 4) und u.a. einen leidensbedingten Abzug von 10 % vorgenommen. Für dessen Festsetzung hat sie - nebst den gesundheitlichen Einschränkungen - das Alter, den Beschäftigungsgrad resp. das zumutbare Arbeitspensum, die Aufenthaltskategorie, die Sprachkenntnisse und die Dauer der Betriebszugehörigkeit berücksichtigt.</w:t>
      </w:r>
    </w:p>
    <w:p>
      <w:r>
        <w:rPr>
          <w:b/>
        </w:rPr>
        <w:t>E. 4.3</w:t>
      </w:r>
    </w:p>
    <w:p>
      <w:r>
        <w:t>Der Beschwerdeführer macht geltend, ein Abzug von weiteren 10 % sei angebracht, da er während rund 17 Jahren beim gleichen Arbeitgeber tätig gewesen sei. Weshalb dieser Umstand eine deutlich unterdurchschnittliche Entlöhnung nach sich ziehen soll, ist indessen nicht nachvollziehbar (vgl. Urteil 9C_386/2012 vom 18. September 2012 E. 5.2) und wird auch nicht dargelegt. Eine rechtsfehlerhafte Ermessensausübung durch die Vorinstanz ist somit nicht ersichtlich. Die Beschwerde ist auch in diesem Punkt unbegründet. Die übrigen Faktoren der Invaliditätsbemessung werden nicht beanstandet; es besteht kein Anlass für eine nähere Prüfung von Amtes wegen ( BGE 125 V 413 E. 1b und 2c S. 415 ff.; 110 V 48 E. 4a S. 53).</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