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393/2008 vom 27. Januar 2009</w:t>
      </w:r>
    </w:p>
    <w:p>
      <w:r>
        <w:t>Bundesgericht, 2009-01-27, FR</w:t>
      </w:r>
    </w:p>
    <w:p>
      <w:r>
        <w:rPr>
          <w:b/>
        </w:rPr>
        <w:t xml:space="preserve">Quelle: </w:t>
      </w:r>
      <w:r>
        <w:t>https://mcp.opencaselaw.ch/entscheid/bger_9C_393_2008</w:t>
      </w:r>
    </w:p>
    <w:p>
      <w:r>
        <w:t>FR: TF 9C 393/2008 du 27 janvier 2009</w:t>
      </w:r>
    </w:p>
    <w:p>
      <w:r>
        <w:t>IT: TF 9C 393/2008 del 27 gennaio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Dans un premier grief, le recourant reproche au tribunal cantonal des assurances d'avoir violé son droit d'être entendu ( art. 29 al. 2 Cst. et 61 let. c LPGA) en n'ordonnant pas l'édition du dossier relatif à la mesure d'aide au placement allouée par l'office AI, alors que celui-ci laissait clairement apparaître l'échec de cette mesure. Le recourant semble toutefois opérer une confusion. Une mesure d'aide au placement ne vise pas comme tel à améliorer la capacité de gain de l'assuré, au contraire des autres mesures de réadaptation, mais simplement à lui apporter une aide à ses démarches en vue de trouver un emploi adapté à son état de santé; il s'agit d'une mesure concrète réalisée sur le marché effectif du travail. L'issue de la mesure d'aide au placement est par conséquent indépendante de la question du droit à la rente (voir arrêt I 503/01 du 7 mars 2003 consid. 3.2). Il s'ensuit que les premiers juges étaient en droit de statuer sur le droit à la rente du recourant sans attendre l'issue de la mesure d'aide au placement.</w:t>
      </w:r>
    </w:p>
    <w:p>
      <w:r>
        <w:rPr>
          <w:b/>
        </w:rPr>
        <w:t>E. 3.1</w:t>
      </w:r>
    </w:p>
    <w:p>
      <w:r>
        <w:t>Dans un second grief, le recourant conteste le revenu d'invalide pris en considération pour évaluer son taux d'invalidité. Compte tenu des importantes limitations fonctionnelles qui altèrent ses possibilités d'exercer une activité lucrative, de sa faible formation et du fait qu'il dispose d'un emploi effectif, il estime que l'on ne peut raisonnablement exiger de lui qu'il recherche un nouveau travail. En acceptant l'offre de son employeur de le déplacer du site de production de S.________ à celui de F.________, avec les inconvénients, les efforts et les frais qu'une telle situation implique, il a entrepris tout ce qu'il était possible d'exiger de lui pour mettre en oeuvre sa capacité résiduelle de gain. Il y aurait par conséquent lieu de retenir que le revenu d'invalide exigible est celui qu'il obtient dans son emploi actuel exercé à 50 %. Pour un assuré se trouvant proche de l'âge de la retraite, il convient en effet de privilégier l'emploi effectif par rapport à un calcul purement théorique du revenu d'invalide.</w:t>
      </w:r>
    </w:p>
    <w:p>
      <w:r>
        <w:rPr>
          <w:b/>
        </w:rPr>
        <w:t>E. 3.2</w:t>
      </w:r>
    </w:p>
    <w:p>
      <w:r>
        <w:t>Le tribunal cantonal des assurances a constaté que le recourant était âgé de 59 ans lorsqu'il a recouvré, en février 2007, une pleine capacité de travail dans une activité adaptée, ce qui lui laissait plus de cinq ans d'activité avant l'âge de la retraite. Si l'âge limitait les possibilités du recourant de retrouver un emploi, il ne rendait toutefois pas cette perspective illusoire, malgré les limitations afférentes à son état de santé. Il était d'autant plus exigible qu'il s'oriente vers une activité adaptée que son activité antérieure n'a pas pu être maintenue et que depuis janvier 2008, il a dû s'investir dans un nouveau poste à F.________, lequel ne lui permettait pas de mettre pleinement en valeur sa capacité résiduelle de travail et de gain, puisque son rendement n'y était que de 50 %.</w:t>
      </w:r>
    </w:p>
    <w:p>
      <w:r>
        <w:rPr>
          <w:b/>
        </w:rPr>
        <w:t>E. 3.3</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équlibré et la durée prévisible des rapports de travail (arrêts I 750/04 du 5 avril 2006 consid. 5.3, in SVR 2007 IV n° 1 p. 1; I 11/00 du 22 août 2001 consid. 5a/bb, in VSI 2001 p. 274).</w:t>
      </w:r>
    </w:p>
    <w:p>
      <w:r>
        <w:rPr>
          <w:b/>
        </w:rPr>
        <w:t>E. 3.4</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I 819/04 du 27 mai 2005 consid. 2.2 et les références).</w:t>
      </w:r>
    </w:p>
    <w:p>
      <w:r>
        <w:rPr>
          <w:b/>
        </w:rPr>
        <w:t>E. 3.5</w:t>
      </w:r>
    </w:p>
    <w:p>
      <w:r>
        <w:t>Dans le cas particulier, le tribunal cantonal des assurances a appliqué de manière correcte la jurisprudence du Tribunal fédéral et, partant, n'a pas violé le droit fédéral. Compte tenu du contexte personnel et professionnel, la mise en valeur par le recourant d'une capacité de travail de 100 % dans une activité adaptée à son état de santé est en effet objectivement exigible. Âgé de 60 ans et deux mois au moment de la décision litigieuse, il n'avait pas encore atteint l'âge à partir duquel la jurisprudence considère généralement qu'il n'existe plus de possibilité réaliste de mise en valeur de la capacité résiduelle de travail sur un marché du travail supposé équilibré. Il convient d'admettre que ledit marché du travail offre un éventail suffisamment large d'activités légères, dont un nombre significatif sont adaptées aux limitations fonctionnelles du recourant et accessibles sans aucune formation particulière. Si les sacrifices consentis par le recourant en vue de conserver son travail auprès de son actuel employeur sont indéniables, il n'en demeure pas moins que l'on peut exiger de lui, en regard de son obligation de réduire le dommage, qu'il utilise pleinement sa capacité résiduelle de travail.</w:t>
      </w:r>
    </w:p>
    <w:p>
      <w:r>
        <w:rPr>
          <w:b/>
        </w:rPr>
        <w:t>E. 4</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