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9C_391/2018 vom 4. Juni 2018</w:t>
      </w:r>
    </w:p>
    <w:p>
      <w:r>
        <w:t>Bundesgericht, 2018-06-04, DE</w:t>
      </w:r>
    </w:p>
    <w:p>
      <w:r>
        <w:rPr>
          <w:b/>
        </w:rPr>
        <w:t xml:space="preserve">Quelle: </w:t>
      </w:r>
      <w:r>
        <w:t>https://mcp.opencaselaw.ch/entscheid/bger_9C_391_2018</w:t>
      </w:r>
    </w:p>
    <w:p>
      <w:r>
        <w:t>FR: TF 9C_391/2018 du 4 juin 2018</w:t>
      </w:r>
    </w:p>
    <w:p>
      <w:r>
        <w:t>IT: TF 9C_391/2018 del 4 giugno 2018</w:t>
      </w:r>
    </w:p>
    <w:p>
      <w:pPr>
        <w:pStyle w:val="Heading2"/>
      </w:pPr>
      <w:r>
        <w:t>Volltext</w:t>
      </w:r>
    </w:p>
    <w:p>
      <w:r>
        <w:t>Bundesgericht</w:t>
      </w:r>
    </w:p>
    <w:p>
      <w:r>
        <w:t>Tribunal fédéral</w:t>
      </w:r>
    </w:p>
    <w:p>
      <w:r>
        <w:t>Tribunale federale</w:t>
      </w:r>
    </w:p>
    <w:p>
      <w:r>
        <w:t>Tribunal federal</w:t>
      </w:r>
    </w:p>
    <w:p>
      <w:r>
        <w:t>9C_391/2018</w:t>
      </w:r>
    </w:p>
    <w:p>
      <w:r>
        <w:t>Urteil vom 4. Juni 2018</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Sanagate AG,</w:t>
      </w:r>
    </w:p>
    <w:p>
      <w:r>
        <w:t>Abteilung Recht &amp; Compliance, Tribschenstrasse 21, 6005 Luzern,</w:t>
      </w:r>
    </w:p>
    <w:p>
      <w:r>
        <w:t>Beschwerdegegnerin.</w:t>
      </w:r>
    </w:p>
    <w:p>
      <w:r>
        <w:t>Gegenstand</w:t>
      </w:r>
    </w:p>
    <w:p>
      <w:r>
        <w:t>Krankenversicherung,</w:t>
      </w:r>
    </w:p>
    <w:p>
      <w:r>
        <w:t>Beschwerde gegen den Entscheid des Sozialversicherungsgerichts des Kantons Zürich</w:t>
      </w:r>
    </w:p>
    <w:p>
      <w:r>
        <w:t>vom 22. März 2018 (KV.2017.00056).</w:t>
      </w:r>
    </w:p>
    <w:p>
      <w:r>
        <w:t>Nach Einsicht</w:t>
      </w:r>
    </w:p>
    <w:p>
      <w:r>
        <w:t>in die Beschwerde vom 22. Mai 2018 (Poststempel) gegen den Entscheid des Sozialversicherungsgerichts des Kantons Zürich vom 22. März 2018 betreffend ausstehende Krankenkassenprämien für Dezember 2013 bis und mit September 2016 (zuzüglich Zins zu 5 %) und Nebenkosten,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Eingabe der Versicherten diesen inhaltlichen Mindestanforderungen offensichtlich nicht genügt, da sie zwar Anträge enthält, den Ausführungen aber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Erwägung, wonach eine Kündigung des Versicherungsverhältnisses mit der Sanagate AG per Ende 2012 mangels nicht vollständig beglichener Prämienforderungen nicht möglich gewesen sei (vgl. unangefochten gebliebene kantonale Entscheide vom 27. Februar 2015 [KV.2013.00078] und 20. Januar 2017 [KV.2015.00051]), und die Beschwerdeführerin daher verpflichtet gewesen sei, die strittigen Prämien weiterhin zu bezahlen,</w:t>
      </w:r>
    </w:p>
    <w:p>
      <w:r>
        <w:t>dass die Beschwerdevorbringen insoweit unzulässig sind, als sie aus einem Rechtsverhältnis Folgen ableiten, welches durch die erwähnten kantonalen Entscheide rechtskräftig beurteilt worden ist (res iudicata),</w:t>
      </w:r>
    </w:p>
    <w:p>
      <w:r>
        <w:t>dass sich die Beschwerdeführerin im Übrigen darauf beschränkt, ihre eigene Sichtweise wiederzugeben sowie rein appellatorische Kritik zu üben, was im bundesgerichtlichen Verfahren nicht ausreicht ( BGE 140 III 264 E. 2.3 S. 266 mit Hinweisen),</w:t>
      </w:r>
    </w:p>
    <w:p>
      <w:r>
        <w:t>dass deshalb im vereinfachten Verfahren nach Art. 108 Abs. 1 lit. a und b BGG auf die Beschwerde nicht einzutreten ist,</w:t>
      </w:r>
    </w:p>
    <w:p>
      <w:r>
        <w:t>dass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4. Juni 2018</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