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9C_38/2014 vom 24. April 2014</w:t>
      </w:r>
    </w:p>
    <w:p>
      <w:r>
        <w:t>Bundesgericht, 2014-04-24, FR</w:t>
      </w:r>
    </w:p>
    <w:p>
      <w:r>
        <w:rPr>
          <w:b/>
        </w:rPr>
        <w:t xml:space="preserve">Quelle: </w:t>
      </w:r>
      <w:r>
        <w:t>https://mcp.opencaselaw.ch/entscheid/bger_9C_38_2014</w:t>
      </w:r>
    </w:p>
    <w:p>
      <w:r>
        <w:t>FR: TF 9C_38/2014 du 24 avril 2014</w:t>
      </w:r>
    </w:p>
    <w:p>
      <w:r>
        <w:t>IT: TF 9C_38/2014 del 24 aprile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l'espèce, le recourant ne conteste pas le montant qu'il a été condamné à payer à l'intimée. Il fait en revanche valoir que la juridiction cantonale aurait fautivement tardé avant de rendre son jugement, de telle sorte qu'il était contraint de s'acquitter d'intérêts moratoires qui ne seraient pas dus si elle avait agi avec diligence.</w:t>
      </w:r>
    </w:p>
    <w:p>
      <w:r>
        <w:rPr>
          <w:b/>
        </w:rPr>
        <w:t>E. 2.1</w:t>
      </w:r>
    </w:p>
    <w:p>
      <w:r>
        <w:t>En vertu de l'art. 26 al. 1, 1re phrase, LPGA, les créances de cotisations échues sont soumises à la perception d'intérêts moratoires. Le taux d'intérêt moratoire est de 5 % par an ( art. 7 al. 1 OPGA ). Faute pour le Conseil fédéral d'avoir fait usage, à tout le moins dans le domaine de l'assurance-maladie, de la délégation de compétence de l'art. 26 al. 1, 2e phrase, LPGA, l'intérêt moratoire est également dû, conformément aux modalités prévues à l' art. 7 al. 2 OPGA , pour les créances de cotisations modestes ou échues depuis peu (arrêt K 68/04 du 26 août 2004 consid. 5.3.4, in SVR 2006 KV n° 2 p. 3).</w:t>
      </w:r>
    </w:p>
    <w:p>
      <w:r>
        <w:rPr>
          <w:b/>
        </w:rPr>
        <w:t>E. 2.2</w:t>
      </w:r>
    </w:p>
    <w:p>
      <w:r>
        <w:t>Comme précisé au considérant précédent, la perception d'un intérêt moratoire est une obligation imposée expressément à l'autorité par l' art. 26 al. 1 LPGA .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(art. 26 al. 1, 1re phrase</w:t>
      </w:r>
    </w:p>
    <w:p>
      <w:r>
        <w:t>in fine , LPGA). Le grief doit par conséquent être rejeté.</w:t>
      </w:r>
    </w:p>
    <w:p>
      <w:r>
        <w:rPr>
          <w:b/>
        </w:rPr>
        <w:t>E. 3</w:t>
      </w:r>
    </w:p>
    <w:p>
      <w:r>
        <w:t>Pour le reste, le recourant reproche à la juridiction cantonale de n'avoir pas examiné le refus de la CSS de résilier un contrat d'assurance complémentaire. La manière de procéder de la juridiction cantonale n'est toutefois pas critiquable. Il s'agit en effet d'une problématique qui ne relève pas de l'assurance obligatoire des soins, mais du droit privé des assurances, et qui ne peut être examinée dans le cadre d'une procédure en matière d'assurances sociales.</w:t>
      </w:r>
    </w:p>
    <w:p>
      <w:r>
        <w:rPr>
          <w:b/>
        </w:rPr>
        <w:t>E. 4</w:t>
      </w:r>
    </w:p>
    <w:p>
      <w:r>
        <w:t>Mal fondé, le présent recours doit être rejeté selon la procédure simplifiée de l' art. 109 al. 2 let. a LTF , sans qu'il y ait lieu d'ordonner un échange d'écritures. Vu l'issue du recours, les frais judiciaires devraient être mis à la charge du recourant qui succombe ( art. 66 al. 1 LTF ); eu égard aux circonstances, il convient toutefois d'y renoncer exceptionnellement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