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9C_38/2007 vom 8. April 2008</w:t>
      </w:r>
    </w:p>
    <w:p>
      <w:r>
        <w:t>Bundesgericht, 2008-04-08, FR</w:t>
      </w:r>
    </w:p>
    <w:p>
      <w:r>
        <w:rPr>
          <w:b/>
        </w:rPr>
        <w:t xml:space="preserve">Quelle: </w:t>
      </w:r>
      <w:r>
        <w:t>https://mcp.opencaselaw.ch/entscheid/bger_9C_38_2007</w:t>
      </w:r>
    </w:p>
    <w:p>
      <w:r>
        <w:t>FR: TF 9C_38/2007 du 8 avril 2008</w:t>
      </w:r>
    </w:p>
    <w:p>
      <w:r>
        <w:t>IT: TF 9C_38/2007 del 8 aprile 2008</w:t>
      </w:r>
    </w:p>
    <w:p>
      <w:pPr>
        <w:pStyle w:val="Heading2"/>
      </w:pPr>
      <w:r>
        <w:t>Erwägungen</w:t>
      </w:r>
    </w:p>
    <w:p>
      <w:r>
        <w:rPr>
          <w:b/>
        </w:rPr>
        <w:t>E. 1</w:t>
      </w:r>
    </w:p>
    <w:p>
      <w:r>
        <w:t>En tant que son dispositif renvoie le dossier à l'administration pour nouvelle décision au sens des considérants, le jugement entrepris doit être qualifié de décision incidente qui ne peut être attaquée qu'aux conditions de l' art. 93 LTF ( ATF 133 V 477 consid. 4.2 p. 482). Dans le cas particulier, la juridiction cantonale a constaté que l'intimée présentait depuis le 20 janvier 2003 une capacité résiduelle de travail de 50 % dans une activité légère et déclaré applicable la méthode mixte d'évaluation de l'invalidité, en fixant incidemment les parts respectives de l'activité lucrative et de l'accomplissement des travaux habituels. Sur ces points, le jugement attaqué contient des instructions impératives destinées à l'autorité inférieure qui ne lui laisse plus aucune latitude de jugement pour la suite de la procédure. En cela, l'office AI subit un préjudice irréparable au sens de l' art. 93 al. 1 let. a LTF , si bien qu'il y a lieu d'entrer en matière sur son recours (cf. ATF 133 V 477 consid. 5.2 p. 483).</w:t>
      </w:r>
    </w:p>
    <w:p>
      <w:r>
        <w:rPr>
          <w:b/>
        </w:rPr>
        <w:t>E. 2.1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2.3</w:t>
      </w:r>
    </w:p>
    <w:p>
      <w:r>
        <w:t>En ce qui concerne plus particulièrement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Dans la mesure cependant où il en va de l'évaluation de l'exigibilité d'une activité professionnelle au regard de l'expérience générale de la vie, il s'agit d'une question de droit qui peut être examinée librement en instance fédérale; il en va ainsi des conclusions tirées de l'expérience médicale, comme par exemple, la présomption que les troubles somatoformes douloureux ou un autre syndrome semblable dont l'étiologie est incertaine et leurs effets peuvent être surmontés par un effort de volonté raisonnablement exigible ( ATF 132 V 65 consid. 4.2.1 et les arrêts cités p. 70, 393 consid. 3.2 et les arrêts cités p. 398).</w:t>
      </w:r>
    </w:p>
    <w:p>
      <w:r>
        <w:rPr>
          <w:b/>
        </w:rPr>
        <w:t>E. 3.1</w:t>
      </w:r>
    </w:p>
    <w:p>
      <w:r>
        <w:t>Les atteintes à la santé psychique peuvent, comme les atteintes physiques, entraîner une invalidité au sens de l' art. 4 al. 1 LAI en liaison avec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 ATF 102 V 165 ; VSI 2001 p. 223 consid. 2b et les références, I 138/98; cf. aussi ATF 127 V 294 consid. 4c in fine p. 298).</w:t>
      </w:r>
    </w:p>
    <w:p>
      <w:r>
        <w:rPr>
          <w:b/>
        </w:rPr>
        <w:t>E. 3.2</w:t>
      </w:r>
    </w:p>
    <w:p>
      <w:r>
        <w:t>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 ATF 132 V 65 consid. 4.2.1 p. 70).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4.2.2 p. 71).</w:t>
      </w:r>
    </w:p>
    <w:p>
      <w:r>
        <w:rPr>
          <w:b/>
        </w:rPr>
        <w:t>E. 4.1</w:t>
      </w:r>
    </w:p>
    <w:p>
      <w:r>
        <w:t>Se fondant sur les observations et les conclusions ressortant de l'expertise établie par le Centre Y.________ (rapport du 21 mars 2005), le Tribunal cantonal des assurances sociales a considéré que la fibromyalgie présentée par l'intimée revêtait un caractère invalidant et diminuait à raison de 50 % sa capacité de travail. Bien que l'assurée ne présentait pas de comorbidité psychiatrique relevante, un nombre suffisant de critères jurisprudentiels était en l'espèce rempli. Si l'assurée ne subissait certes pas de perte d'intégration sociale dans toutes les manifestations de la vie, il y avait lieu en revanche d'admettre l'existence d'affections corporelles chroniques (allergies multiples, troubles du sommeil, sensations d'écoeurement avec nausée, constipation importante, aphtose buccale et génitale) et d'un processus maladif s'étendant sur plusieurs années, sans rémission durable. Des éléments biographiques difficiles pouvaient par ailleurs expliquer la détresse émotionnelle exprimée au travers de la symptomatologie douloureuse et conclure dans ce sens à un état psychique cristallisé. D'autres éléments permettaient par ailleurs d'admettre que l'assurée présentait un tel état. Ainsi, le fait que l'expert était persuadé que l'assurée ne tirait aucun profit de sa maladie et que, bien au contraire, elle avait indiqué vouloir reprendre son travail le plus vite possible, permettait d'exclure tout profit secondaire tiré de la maladie. De même, l'assurée n'avait jamais été considérée comme revendicatrice ni cherchant une compensation de ses souffrances. Enfin, si l'adaptation du traitement avait permis une amélioration passagère de l'état psychique, celui-ci s'était nettement péjoré par la suite.</w:t>
      </w:r>
    </w:p>
    <w:p>
      <w:r>
        <w:rPr>
          <w:b/>
        </w:rPr>
        <w:t>E. 4.2</w:t>
      </w:r>
    </w:p>
    <w:p>
      <w:r>
        <w:t>Le litige porte exclusivement sur le point de savoir si, à la lumière des critères dégagés par la jurisprudence et des faits retenus par la juridiction cantonale, l'assurée était en mesure de fournir, au moment de la décision litigieuse, l'effort de volonté raisonnablement exigible en vue de surmonter les effets de ses douleurs. Bien que présentes depuis de nombreuses années, les affections corporelles chroniques mises en évidence par la juridiction cantonale ne pouvaient raisonnablement être considérées, à défaut d'indice plaidant en faveur d'une interprétation contraire, comme étant de nature à entraîner une limitation de la capacité fonctionnelle de travail ou comme pouvant être à l'origine d'un stress psychologique intense susceptible d'influencer négativement tout effort de volonté raisonnablement exigible. De plus, comme l'a reconnu la juridiction cantonale, l'assurée ne subissait pas de perte d'intégration sociale dans toutes les manifestations de sa vie, puisqu'elle bénéficiait, malgré un retrait social marqué, d'une vie familiale plutôt harmonieuse. Enfin, l'existence d'éléments biographiques difficiles pouvant expliquer la détresse émotionnelle exprimée au travers de la symptomatologie douloureuse ne permettait pas encore de conclure en l'espèce à l'existence d'un état psychique cristallisé. Ainsi que le relève l'office recourant dans son recours - il convient de compléter l'état de fait sur ce point -, le Centre Y.________ a souligné dans son rapport l'inadéquation du traitement médicamenteux administré (sous-dosage) et les perspectives d'évolution favorables sur le plan de la capacité de travail que pouvaient entraîner une prise en charge thérapeutique adéquate et le maintien par l'assurée de contacts sociaux.</w:t>
      </w:r>
    </w:p>
    <w:p>
      <w:r>
        <w:rPr>
          <w:b/>
        </w:rPr>
        <w:t>E. 4.3</w:t>
      </w:r>
    </w:p>
    <w:p>
      <w:r>
        <w:t>D'un point de vue juridique, il n'y avait pas de raisons suffisantes de considérer que le syndrome fibromyalgique se manifestait, au moment de la décision sur opposition litigieuse, avec une sévérité telle que, d'un point de vue objectif, la mise en valeur complète de la capacité de travail de l'assurée ne pouvait plus être raisonnablement exigée de sa part. Quand bien même le Centre Y.________ a estimé que l'assurée ne possédait pas de ressources propres suffisantes pour pouvoir se sortir de sa situation, la maladie n'avait pas atteint, malgré l'importance alléguée des douleurs, un stade d'évolution suffisant pour que soit reconnu juridiquement une diminution de la capacité de travail de 50 %. Bien fondé, le recours de l'office AI doit être admis.</w:t>
      </w:r>
    </w:p>
    <w:p>
      <w:r>
        <w:rPr>
          <w:b/>
        </w:rPr>
        <w:t>E. 4.4</w:t>
      </w:r>
    </w:p>
    <w:p>
      <w:r>
        <w:t>Le fait que les adaptations thérapeutiques mises en oeuvre à l'issue de l'expertise n'aient pas apporté le succès escompté (lettre de la doctoresse B.________ du 26 juin 2006) et que les troubles de l'humeur présentés par l'assurée aient connu par la suite une péjoration significative (rapport complémentaire du Centre Y.________ du 9 octobre 2006) ne sont pas des éléments dont il y avait lieu de tenir compte dans le cadre de la présente appréciation, dès lors qu'il s'agissait de circonstances postérieures à la décision litigieuse du 23 février 2006. C'est à cet égard à juste titre que les premiers juges ont invité l'office recourant à ouvrir une procédure de révision pour la période subséquente à la décision sur opposition.</w:t>
      </w:r>
    </w:p>
    <w:p>
      <w:r>
        <w:rPr>
          <w:b/>
        </w:rPr>
        <w:t>E. 5</w:t>
      </w:r>
    </w:p>
    <w:p>
      <w:r>
        <w:t>L'office AI obtient gain de cause. La procédure étant onéreuse, les frais judiciaires sont à la charge de l'intimée qui succombe (art. 66 al. 1, première phrase, LTF en corrélation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