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9C_389/2021 vom 25. März 2022</w:t>
      </w:r>
    </w:p>
    <w:p>
      <w:r>
        <w:t>Bundesgericht, 2022-03-25, FR</w:t>
      </w:r>
    </w:p>
    <w:p>
      <w:r>
        <w:rPr>
          <w:b/>
        </w:rPr>
        <w:t xml:space="preserve">Quelle: </w:t>
      </w:r>
      <w:r>
        <w:t>https://mcp.opencaselaw.ch/entscheid/bger_9C_389_2021</w:t>
      </w:r>
    </w:p>
    <w:p>
      <w:r>
        <w:t>FR: TF 9C_389/2021 du 25 mars 2022</w:t>
      </w:r>
    </w:p>
    <w:p>
      <w:r>
        <w:t>IT: TF 9C_389/2021 del 25 marzo 2022</w:t>
      </w:r>
    </w:p>
    <w:p>
      <w:pPr>
        <w:pStyle w:val="Heading2"/>
      </w:pPr>
      <w:r>
        <w:t>Erwägungen</w:t>
      </w:r>
    </w:p>
    <w:p>
      <w:r>
        <w:rPr>
          <w:b/>
        </w:rPr>
        <w:t>E. 1</w:t>
      </w:r>
    </w:p>
    <w:p>
      <w:r>
        <w:t>Même si la recourante se limite à prendre des conclusions cassatoires, son recours en matière de droit public, qui se caractérise comme un recours en réforme ( art. 107 al. 2 LTF ), est recevable. Il ressort en effet, à la lecture du mémoire de recours, qu'elle remet en cause le refus de l'intimé de lui octroyer une rente d'invalidité au-delà du 31 décembre 2017 ( ATF 137 II 313 consid. 1.3 et les références).</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Du point de vue temporel, le droit applicable est déterminé par les règles en vigueur au moment où les faits juridiquement déterminants se sont produits, étant précisé que le juge n'a en principe pas à prendre en considération les modifications du droit postérieures à la date déterminante de la décision administrative litigieuse ( ATF 136 V 24 consid. 4.3; 130 V 445 consid. 1; 129 V 1 consid. 1.2). Dans la mesure où ladite décision a en l'espèce été rendue avant l'entrée en vigueur, le 1er janvier 2022, de la modification de la loi fédérale sur l'assurance-invalidité du 19 juin 2020 (Développement continu de l'AI; RO 2021 705), le droit applicable est celui en vigueur jusqu'au 31 décembre 2021.</w:t>
      </w:r>
    </w:p>
    <w:p>
      <w:r>
        <w:rPr>
          <w:b/>
        </w:rPr>
        <w:t>E. 4</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5.1</w:t>
      </w:r>
    </w:p>
    <w:p>
      <w:r>
        <w:t>Le litige a trait au maintien du droit de la recourante à une rente de l'assurance-invalidité au-delà du 31 décembre 2017.</w:t>
      </w:r>
    </w:p>
    <w:p>
      <w:r>
        <w:rPr>
          <w:b/>
        </w:rPr>
        <w:t>E. 5.2</w:t>
      </w:r>
    </w:p>
    <w:p>
      <w:r>
        <w:t>L'arrêt attaqué expose de manière complète les dispositions légales et les principes jurisprudentiels relatifs notamment à la notion d'invalidité ( art. 7 et 8 al. 1 LPGA en relation avec l' art. 4 al. 1 LAI ) et à son évaluation ( art. 16 LPGA et art. 28a LAI ), à l'examen des rentes temporaires d'invalidité sous l'angle de la révision du droit aux prestations durables ( art. 17 LPGA , art. 88a RAI ; ATF 131 V 164 consid. 2.2), ainsi qu'à la valeur probante des rapports médicaux ( ATF 134 V 231 consid. 5.1; 125 V 351 consid. 3) et à la libre appréciation des preuves ( art. 61 let . c LPGA). Il suffit d'y renvoyer.</w:t>
      </w:r>
    </w:p>
    <w:p>
      <w:r>
        <w:rPr>
          <w:b/>
        </w:rPr>
        <w:t>E. 6.1</w:t>
      </w:r>
    </w:p>
    <w:p>
      <w:r>
        <w:t>Dans une première argumentation, la recourante reproche aux premiers juges d'avoir procédé à une appréciation arbitraire des preuves pour admettre qu'elle ne présentait plus de préjudice économique à compter du 1er janvier 2018. Elle allègue que son incapacité totale de travail aurait été médicalement attestée au moins jusqu'en décembre 2020 et qu'au vu des appréciations médicales divergentes, il existait un doute suffisant pour justifier la mise en oeuvre d'une expertise.</w:t>
      </w:r>
    </w:p>
    <w:p>
      <w:r>
        <w:rPr>
          <w:b/>
        </w:rPr>
        <w:t>E. 6.2</w:t>
      </w:r>
    </w:p>
    <w:p>
      <w:r>
        <w:t>Contrairement à ce qu'affirme d'abord la recourante, la juridiction de première instance n'a pas "écarté" les avis des docteurs B.________, spécialiste en chirurgie, C.________, spécialiste en chirurgie de la main et en chirurgie plastique, reconstructive et esthétique, et D.________, spécialiste en anesthésiologie et en traitement interventionnel de la douleur.</w:t>
      </w:r>
    </w:p>
    <w:p>
      <w:r>
        <w:t>Pour confirmer la conclusion de l'intimé, selon laquelle la recourante était en mesure de travailler dans une activité adaptée à 100 %, avec une diminution de rendement de 20 %, dès janvier 2018, la juridiction cantonale n'a pas limité son examen aux avis des médecins du Service médical régional de l'AI (SMR). S'agissant d'abord du docteur B.________, les premiers juges ont constaté qu'il avait attesté, dans un rapport du 7 septembre 2017, qu'une activité adaptée à 50 % était exigible de l'assurée; ces conclusions devaient cependant être considérées avec retenue parce qu'elles reposaient en partie du moins sur des facteurs extra-médicaux. Le docteur C.________ avait, pour sa part, considéré que la recourante pouvait exercer à plein temps et sans diminution de rendement une activité mono-manuelle (à gauche) ou très légère avec la main droite (moins de 3-5 kg; rapport du 19 mars 2018).</w:t>
      </w:r>
    </w:p>
    <w:p>
      <w:r>
        <w:t>Quant au docteur D.________, qui avait indiqué qu'une activité permettant de ne pas utiliser le membre supérieur droit était exigible à temps partiel, à un pourcentage débutant à 25 % (rapport du 10 avril 2018), la juridiction cantonale a expliqué qu'elle ne pouvait pas se fonder sur son avis car il n'était pas motivé. A cet égard, force est d'admettre que le docteur D.________ ne s'est pas clairement prononcé au sujet de la capacité de travail de sa patiente. Nonobstant un pronostic "sombre" quant à la capacité de travail de l'assurée, le médecin a indiqué qu'elle était, à sa connaissance, en arrêt de travail à 100 %, mais qu'il ne s'était "personnellement pas occupé de cet aspect", tout en précisant qu'il ne disposait d'aucune information sur sa situation professionnelle. Par la suite, si le docteur D.________ a fait part de ses doutes quant à l'aptitude de la recourante à exercer l'activité considérée comme adaptée par les organes de l'assurance-invalidité (activité d'ouvrière dans la production industrielle légère pour du montage ou du conditionnement, par exemple, à 100 %, avec une diminution de rendement de 20 %), il a justifié son point de vue par l'incapacité de l'intéressée à effectuer une activité professionnelle nécessitant une utilisation régulière du membre supérieur droit (rapport du 30 avril 2019). Or quoi qu'en dise l'assurée, ces constatations se recoupent non seulement avec celles du docteur C.________ (rapport du 19 mars 2018), mais également avec celles des médecins du SMR, qui ont indiqué que l'activité adaptée devait être mono-manuelle (rapports des docteurs E.________, spécialiste en chirurgie, des 30 novembre 2017 et 10 juillet 2018, et F.________, spécialiste en médecine interne générale, du 24 octobre 2019).</w:t>
      </w:r>
    </w:p>
    <w:p>
      <w:r>
        <w:rPr>
          <w:b/>
        </w:rPr>
        <w:t>E. 6.3</w:t>
      </w:r>
    </w:p>
    <w:p>
      <w:r>
        <w:t>L'argumentation de la recourante, selon laquelle le "passage" d'une demi-rente à trois quarts de rente (en décembre 2017) juste avant la suppression de son droit (au 1er janvier 2018) serait difficile à comprendre, n'est pas davantage fondée. Comme l'ont dûment expliqué les premiers juges, à la suite de l'office intimé, l'augmentation du taux d'invalidité de 57,75 % à 67,15 % le 1er décembre 2017 est due à l'absence de prise en compte de l'aide exigible de son concubin pour évaluer l'invalidité dans la sphère ménagère dès l'hospitalisation de celui-ci survenue en décembre 2017. Pour le surplus, la recourante ne conteste pas l'évaluation de ses empêchements ménagers.</w:t>
      </w:r>
    </w:p>
    <w:p>
      <w:r>
        <w:rPr>
          <w:b/>
        </w:rPr>
        <w:t>E. 6.4</w:t>
      </w:r>
    </w:p>
    <w:p>
      <w:r>
        <w:t>En conséquence de ce qui précède, il n'y a pas lieu de s'écarter des constatations de la juridiction cantonale, selon lesquelles l'état de santé de l'assurée s'était amélioré à la fin de l'été 2017, dès lors qu'elle était, malgré ses limitations fonctionnelles de la main droite et indépendamment de toute éventuelle intervention sur celle-ci, en mesure d'exercer une activité mono-manuelle en engageant la main gauche. En ce qu'elle tend à affirmer que la mise en oeuvre de mesures d'instruction complémentaires pourrait apporter des renseignements supplémentaires, l'argumentation de l'assurée n'est pas suffisante pour mettre en évidence en quoi la juridiction cantonale aurait procédé de manière arbitraire à une appréciation anticipée des preuves (à ce sujet, voir ATF 140 I 285 consid. 6.3.1) ou aurait établi les faits de manière incomplète. Le recours est mal fondé sur ce point.</w:t>
      </w:r>
    </w:p>
    <w:p>
      <w:r>
        <w:rPr>
          <w:b/>
        </w:rPr>
        <w:t>E. 7.1</w:t>
      </w:r>
    </w:p>
    <w:p>
      <w:r>
        <w:t>Dans un second moyen, l'assurée soutient que ni l'office AI, ni à sa suite les premiers juges, n'auraient examiné la nécessité de mettre en oeuvre des mesures d'ordre professionnel préalablement à l'octroi d'une rente d'invalidité limitée dans le temps, alors même qu'elle avait 55 ans au moment où la décision administrative du 3 juillet 2020 a été rendue.</w:t>
      </w:r>
    </w:p>
    <w:p>
      <w:r>
        <w:rPr>
          <w:b/>
        </w:rPr>
        <w:t>E. 7.2</w:t>
      </w:r>
    </w:p>
    <w:p>
      <w:r>
        <w:t>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arrêts 9C_211/2021 du 5 novembre 2021 consid. 3.1; 9C_276/2020 du 18 décembre 2020 consid. 6 et les arrêts cités).</w:t>
      </w:r>
    </w:p>
    <w:p>
      <w:r>
        <w:rPr>
          <w:b/>
        </w:rPr>
        <w:t>E. 7.3</w:t>
      </w:r>
    </w:p>
    <w:p>
      <w:r>
        <w:t>En l'espèce, la recourante, née en mai 1965, avait 55 ans révolus au moment où l'office intimé lui a reconnu le droit à une rente entière d'invalidité limitée dans le temps (le 3 juillet 2020; cf. ATF 141 V 5 consid. 4.2.1; arrêts 9C_748/2020 du 22 mars 2021 consid. 2.2; 9C_473/2019 du 25 février 2020 consid. 5.2.1). Elle a donc droit à ce que le besoin de mesures de réadaptation soit examiné avant la suppression de son droit à la rente. Cet examen n'a pas été effectué par la juridiction cantonale, ni au demeurant par l'intimé. En particulier, toute constatation sur l'exigibilité (exceptionnelle) d'une réadaptation par soi-même fait défaut. La cause doit dès lors être renvoyée à l'office AI pour qu'il vérifie l'octroi de mesures d'ordre professionnel à l'assurée. Il y a ainsi lieu d'annuler l'arrêt attaqué en tant qu'il porte sur la suppression du droit à la rente d'invalidité au 31 décembre 2017. Le recours est bien fondé sur ce point.</w:t>
      </w:r>
    </w:p>
    <w:p>
      <w:r>
        <w:rPr>
          <w:b/>
        </w:rPr>
        <w:t>E. 8</w:t>
      </w:r>
    </w:p>
    <w:p>
      <w:r>
        <w:t>Vu le renvoi ordonné, qui revient à donner gain de cause à la recourante, les frais judiciaires y afférents doivent être mis à la charge de l'intimé ( art. 66 al. 1 LTF ). Celui-ci versera par ailleurs une indemnité de dépens à la recourante ( art. 68 al. 1 LTF ). La demande d'assistance judiciaire de la recourante est dès lors sans objet.</w:t>
      </w:r>
    </w:p>
    <w:p>
      <w:r>
        <w:t>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