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9C_388/2018 vom 29. Oktober 2018</w:t>
      </w:r>
    </w:p>
    <w:p>
      <w:r>
        <w:t>Bundesgericht, 2018-10-29, DE</w:t>
      </w:r>
    </w:p>
    <w:p>
      <w:r>
        <w:rPr>
          <w:b/>
        </w:rPr>
        <w:t xml:space="preserve">Quelle: </w:t>
      </w:r>
      <w:r>
        <w:t>https://mcp.opencaselaw.ch/entscheid/bger_9C_388_2018</w:t>
      </w:r>
    </w:p>
    <w:p>
      <w:r>
        <w:t>FR: TF 9C_388/2018 du 29 octobre 2018</w:t>
      </w:r>
    </w:p>
    <w:p>
      <w:r>
        <w:t>IT: TF 9C_388/2018 del 29 ottobre 2018</w:t>
      </w:r>
    </w:p>
    <w:p>
      <w:pPr>
        <w:pStyle w:val="Heading2"/>
      </w:pPr>
      <w:r>
        <w:t>Erwägungen</w:t>
      </w:r>
    </w:p>
    <w:p>
      <w:r>
        <w:rPr>
          <w:b/>
        </w:rPr>
        <w:t>E. 1.1</w:t>
      </w:r>
    </w:p>
    <w:p>
      <w:r>
        <w:t>Der Antrag der Beschwerdeführerin auf Aufhebung des angefochtenen Entscheids bezieht sich, entsprechend der Beschwerdebegründung, nur auf die Rückerstattung der vom 1. Februar 2010 bis zum 31. Januar 2012 bezogenen Leistungen (vgl. auch Art. 89 Abs. 1 lit. c BGG ).</w:t>
      </w:r>
    </w:p>
    <w:p>
      <w:r>
        <w:rPr>
          <w:b/>
        </w:rPr>
        <w:t>E. 1.2</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w:t>
      </w:r>
    </w:p>
    <w:p>
      <w:r>
        <w:rPr>
          <w:b/>
        </w:rPr>
        <w:t>E. 3</w:t>
      </w:r>
    </w:p>
    <w:p>
      <w:r>
        <w:t>Das kantonale Gericht hat den Anspruch der IV-Stelle auf Rückerstattung der Rentenbetreffnisse, die sie dem Beschwerdegegner vom 1. August 2009 bis zum 28. Februar 2017 ausgerichtet hatte, im Grundsatz bejaht. Weiter hat es die relative (einjährige) Frist für die Geltendmachung des Anspruchs mit dem Erlass des Vorbescheids vom 12. Januar 2017 als gewahrt erachtet. Sodann ist es von einer absoluten Frist von fünf Jahren ausgegangen, weshalb es die Rückforderung der Betreffnisse bis Ende Januar 2012 für verwirkt gehalten und den Rückerstattungsanspruch nur für die ab 1. Februar 2012 ausgerichteten Rentenbetreffnisse bejaht hat.</w:t>
      </w:r>
    </w:p>
    <w:p>
      <w:r>
        <w:t>Streitig und zu prüfen ist einzig der Umfang der Rückerstattungspflicht in Bezug auf die Länge der absoluten (Verwirkungs-) Frist.</w:t>
      </w:r>
    </w:p>
    <w:p>
      <w:r>
        <w:rPr>
          <w:b/>
        </w:rPr>
        <w:t>E. 4.1</w:t>
      </w:r>
    </w:p>
    <w:p>
      <w:r>
        <w:t>Art. 148a Abs. 1 StGB betreffend den unrechtmässigen Bezug von Leistungen einer Sozialversicherung oder der Sozialhilfe ist für den hier massgeblichen Zeitraum (E. 1.1) nicht von Interesse: Die Bestimmung trat erst am 1. Oktober 2016 in Kraft. Einschlägig ist indessen die Strafbestimmung von Art. 87 Abs. 6 (bis 31. Dezember 2017: Abs. 5) und 9 AHVG i.V.m. Art. 70 IVG : Wer die ihm obliegende Meldepflicht ( Art. 31 Abs. 1 ATSG ; vgl. auch Art. 77 IVV [SR 831.201]) verletzt, wird, sofern nicht ein mit einer höheren Strafe bedrohtes Verbrechen oder Vergehen des Strafgesetzbuches vorliegt, mit Geldstrafe bis zu 180 Tagessätzen bestraft.</w:t>
      </w:r>
    </w:p>
    <w:p>
      <w:r>
        <w:t>Die entsprechende Verfolgungsverjährung (vgl. BGE 138 V 74 E. 5.2 S. 79) beträgt sieben Jahre ( Art. 97 Abs. 1 lit. d StGB ). Hat der Beschwerdegegner den Tatbestand von Art. 87 Abs. 6 AHVG erfüllt, folgt mit Blick auf Art. 25 Abs. 2 Satz 2 ATSG , dass er auch die vom 1. Februar 2010 bis zum 31. Januar 2012 ausgerichteten Rentenbetreffnisse zurückzuerstatten hat.</w:t>
      </w:r>
    </w:p>
    <w:p>
      <w:r>
        <w:rPr>
          <w:b/>
        </w:rPr>
        <w:t>E. 4.2</w:t>
      </w:r>
    </w:p>
    <w:p>
      <w:r>
        <w:t>Angesichts des Umstandes, dass die Strafverfolgung bei Erlass des angefochtenen Urteils noch nicht abgeschlossen war (Sachverhalt lit. A.b), hat die Vorinstanz zu Recht selber über die Strafbarkeit des Beschwerdegegners befunden ( BGE 138 V 74 E. 6.1 S. 80).</w:t>
      </w:r>
    </w:p>
    <w:p>
      <w:r>
        <w:rPr>
          <w:b/>
        </w:rPr>
        <w:t>E. 4.3</w:t>
      </w:r>
    </w:p>
    <w:p>
      <w:r>
        <w:t>Das kantonale Gericht hat festgestellt, mit der Verfügung vom 22. März 2007 sei der Versicherte ausdrücklich für jede Änderung der persönlichen und wirtschaftlichen Verhältnisse (wie die Aufnahme einer Erwerbstätigkeit), die den Leistungsanspruch beeinflussen kann, auf seine Meldepflicht gegenüber der IV-Stelle hingewiesen worden. Er habe seine Arbeitsstelle als Eismeister bereits am 13. Juli 2009 angetreten. Seine Arbeitgeberin habe der Ausgleichskasse des Kantons Solothurn die entsprechende Versichertenanmeldung übermittelt. Der Beschwerdegegner habe die IV-Stelle über den Stellenantritt nicht informiert. Im November 2011 habe er der Ausgleichskasse mitgeteilt, infolge Arbeitsaufnahme auf den 1. Januar 2012 auf die weitere Auszahlung von Ergänzungsleistungen verzichten zu wollen. Erst im Leistungsgesuch vom September resp. Oktober 2016 habe er seine Anstellung gegenüber der IV-Stelle erwähnt.</w:t>
      </w:r>
    </w:p>
    <w:p>
      <w:r>
        <w:rPr>
          <w:b/>
        </w:rPr>
        <w:t>E. 4.4</w:t>
      </w:r>
    </w:p>
    <w:p>
      <w:r>
        <w:t>Dass diese Feststellungen offensichtlich unrichtig sein oder auf einer Rechtsverletzung beruhen sollen, ist nicht ersichtlich und wird auch nicht geltend gemacht. Sie bleiben daher für das Bundesgericht verbindlich (E. 1.2).</w:t>
      </w:r>
    </w:p>
    <w:p>
      <w:r>
        <w:t>Dementsprechend erfüllte der Versicherte seit dem Stellenantritt bis im Herbst 2016 den objektiven Tatbestand von Art. 87 Abs. 6 AHVG . Zwar stellt der Beschwerdegegner dies in Abrede; zur Begründung verweist er aber lediglich auf die Anmeldung durch die Arbeitgeberin vom August 2009 und seine im November 2011 erfolgte Mitteilung an die AHV-Zweigstelle resp. die Ausgleichskasse. Er nimmt mit keinem Wort (vgl. Art. 42 Abs. 2 BGG ) Bezug auf die Ausführungen insbesondere in E. 5.2 des angefochtenen Entscheids, mit denen die Vorinstanz (zutreffend; vgl. das dort erwähnte Urteil 9C_226/2011 vom 15. Juli 2011 E. 4.2.2 und 4.2.3, nicht publ. in: BGE 137 V 369 , aber in: SVR 2012 IV Nr. 12 S. 61) dargelegt hat, weshalb sie Mitteilungen an die Ausgleichskasse als ungenügend erachtet und die Verletzung der Meldepflicht gegenüber der IV-Stelle bejaht hat.</w:t>
      </w:r>
    </w:p>
    <w:p>
      <w:r>
        <w:rPr>
          <w:b/>
        </w:rPr>
        <w:t>E. 4.5</w:t>
      </w:r>
    </w:p>
    <w:p>
      <w:r>
        <w:t>In subjektiver Hinsicht (vgl. Art. 12 StGB ) hat das kantonale Gericht einzig erwogen, das Vorgehen des Beschwerdegegners im November 2011 lasse eher nicht darauf schliessen, dass er den Stellenantritt grundsätzlich habe verheimlichen wollen. Der Vorsatz sei nicht nachgewiesen, weshalb nicht von der längeren Verwirkungsfrist gemäss Art. 25 Abs. 2 Satz 2 ATSG auszugehen sei.</w:t>
      </w:r>
    </w:p>
    <w:p>
      <w:r>
        <w:t>Die vorinstanzliche Formulierung (kein "grundsätzlicher" Wille zur Verheimlichung) kann nur so verstanden werden, dass damit ein direkter Vorsatz verneint worden ist. Ob dieser Schluss rechtlich begründet ist und gegebenenfalls auch hinsichtlich des Zeitraums von Juli 2009 bis November 2011 Geltung hat, kann offenbleiben. Für die Strafbarkeit genügt bereits ein Eventualvorsatz im Sinne der Inkaufnahme des Erfolgs ( Art. 12 Abs. 2 StGB ; BGE 138 V 74 E. 8.2 S. 83 f.).</w:t>
      </w:r>
    </w:p>
    <w:p>
      <w:r>
        <w:rPr>
          <w:b/>
        </w:rPr>
        <w:t>E. 4.6</w:t>
      </w:r>
    </w:p>
    <w:p>
      <w:r>
        <w:t>Ob der Täter die Tatbestandsverwirklichung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Was der Täter wusste, wollte und in Kauf nahm, betrifft sog. innere Tatsachen und ist damit Tatfrage. Rechtsfrage ist hingegen, ob im Lichte der festgestellten Tatsachen der Schluss auf Eventualvorsatz begründet ist ( BGE 138 V 74 E. 8.4.1 S. 84 mit Hinweisen).</w:t>
      </w:r>
    </w:p>
    <w:p>
      <w:r>
        <w:t>Das kantonale Gericht wird diesbezüglich eigene Feststellungen zu treffen (oder den Ausgang des strafrechtlichen Verfahrens zu berücksichtigen) und anschliessend über die Rückerstattungspflicht für den interessierenden Zeitraum neu zu entscheiden haben. In diesem Sinn ist die Beschwerde begründet.</w:t>
      </w:r>
    </w:p>
    <w:p>
      <w:r>
        <w:rPr>
          <w:b/>
        </w:rPr>
        <w:t>E. 5</w:t>
      </w:r>
    </w:p>
    <w:p>
      <w:r>
        <w:t>Hinsichtlich der Prozesskosten gilt die Rückweisung der Sache zu neuem Entscheid praxisgemäss als volles Obsiegen ( BGE 137 V 210 E. 7.1 S. 271 mit Hinweisen). Der Beschwerdegegner hat die Gerichtskosten zu tragen ( Art. 66 Abs. 1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