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9C_386/2007 vom 29. August 2007</w:t>
      </w:r>
    </w:p>
    <w:p>
      <w:r>
        <w:t>Bundesgericht, 2007-08-29, DE</w:t>
      </w:r>
    </w:p>
    <w:p>
      <w:r>
        <w:rPr>
          <w:b/>
        </w:rPr>
        <w:t xml:space="preserve">Quelle: </w:t>
      </w:r>
      <w:r>
        <w:t>https://mcp.opencaselaw.ch/entscheid/bger_9C_386_2007</w:t>
      </w:r>
    </w:p>
    <w:p>
      <w:r>
        <w:t>FR: TF 9C_386/2007 du 29 août 2007</w:t>
      </w:r>
    </w:p>
    <w:p>
      <w:r>
        <w:t>IT: TF 9C_386/2007 del 29 agosto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Invalidität ist die voraussichtlich bleibende oder längere Zeit dauernde ganze oder teilweise Erwerbsunfähigkeit ( Art. 8 Abs. 1 ATSG in Verbindung mit Art. 1 Abs. 1 IVG ). Die Invalidität kann Folge von Geburtsgebrechen, Krankheit oder Unfall sein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w:t>
      </w:r>
    </w:p>
    <w:p>
      <w:r>
        <w:t>Ist ein Versicherter zu mindestens 40 Prozent invalid, so hat er Anspruch auf eine nach dem Grad der Invalidität abgestufte Rente ( Art. 28 Abs. 1 IVG ).</w:t>
      </w:r>
    </w:p>
    <w:p>
      <w:r>
        <w:rPr>
          <w:b/>
        </w:rPr>
        <w:t>E. 2.2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Entscheidend ist, ob und inwiefern, allenfalls bei geeigneter therapeutischer Behandlung, von der versicherten Person trotz des Leidens willensmässig erwartet werden kann zu arbeiten ( BGE 127 V 294 E. 5a S. 299). Diese Frage beurteilt sich nach einem weitgehend objektivierten Massstab unter Ausschluss von Einschränkungen der Leistungsfähigkeit, die auf aggravatorisches Verhalten zurückzuführen sind ( BGE 130 V 352 E. 2.2.3 und 2.2.4 S. 353 ff.; BGE 127 V 294 E. 4b/cc S. 297 f. in fine). Umstände, welche die Verwertung der verbleibenden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(vgl. BGE 132 V 65 E. 4.2.2 S. 71, 130 V 352 E 2.2.3 S. 353 ff.).</w:t>
      </w:r>
    </w:p>
    <w:p>
      <w:r>
        <w:rPr>
          <w:b/>
        </w:rPr>
        <w:t>E. 3</w:t>
      </w:r>
    </w:p>
    <w:p>
      <w:r>
        <w:t>Das kantonale Gericht hat festgestellt, gemäss dem Gutachten des Prof. Dr. med. K.________ vom 17. März 2006 bestehe eine anhaltende somatoforme Schmerzstörung (ICD-10 F45.4), begleitet von multiplen funktionellen Beschwerden (somatoforme autonome Funktionsstörungen [ICD-10 F45.3]) von Seiten des Verdauungsapparates, aber auch Kopfschmerzen sowie Konzentrations- und Schlafstörungen. Es läge keine Unzumutbarkeit der willentlichen Schmerzüberwindung und des Wiedereinstiegs in den Arbeitsprozess vor. Der psychiatrische Gutachter begründe widerspruchsfrei, unter welchen Umständen die Versicherte ihr Leiden überwinden könne und weshalb es ihr zumutbar sei, wieder eine Erwerbstätigkeit, vorerst während vier Stunden pro Tag, später vollzeitlich, aufzunehmen. Das Leiden sei behandelbar und mit der nötigen Willensanstrengung zu überwinden. In Betracht fielen aufgrund des Gutachtens der Frau Dr. med. E.________ vom 16. Februar 2006 aus rein rheumatologischer Sicht leichte körperliche Tätigkeiten mit der Möglichkeit zur Wechselbelastung. Aus psychiatrischer Sicht sei ein invalidisierender Gesundheitsschaden zu verneinen.</w:t>
      </w:r>
    </w:p>
    <w:p>
      <w:r>
        <w:rPr>
          <w:b/>
        </w:rPr>
        <w:t>E. 4</w:t>
      </w:r>
    </w:p>
    <w:p>
      <w:r>
        <w:t>Entgegen den Vorbringen in der Beschwerde sind die vorinstanzlichen Feststellungen zum Gesundheitszustand und zur Arbeitsfähigkeit weder offensichtlich unrichtig noch das Ergebnis willkürlicher Beweiswürdigung.</w:t>
      </w:r>
    </w:p>
    <w:p>
      <w:r>
        <w:rPr>
          <w:b/>
        </w:rPr>
        <w:t>E. 4.1</w:t>
      </w:r>
    </w:p>
    <w:p>
      <w:r>
        <w:t>Es trifft zwar zu, dass Prof. K.________ eine anhaltende somatoforme Schmerzstörung im Sinne von ICD-10 F45.4 diagnostizierte, gleichzeitig aber eine für dieses Beschwerdebild typische psychosoziale Belastungssituation (vgl. BGE 130 V 396 E. 6.1 S. 400) als nicht klar ersichtlich bezeichnete. Der Gutachter hat indessen festgehalten, dass es für die Symptome keine ausreichende somatische Erklärung gebe und das Leiden zu den somatoformen Störungen zu zählen sei. Dies ist unbestritten. Abgesehen davon ändert der Einwand nichts an der entscheidenden Fragestellung nach der Zumutbarkeit der Willensanstrengung zur Schmerzüberwindung und Ausübung einer Erwerbstätigkeit ( BGE 132 V 393 E. 3.2 S. 397 ff. in fine).</w:t>
      </w:r>
    </w:p>
    <w:p>
      <w:r>
        <w:rPr>
          <w:b/>
        </w:rPr>
        <w:t>E. 4.2</w:t>
      </w:r>
    </w:p>
    <w:p>
      <w:r>
        <w:t>Im Weitern wird insoweit richtig ausgeführt, dass eine psychische Komorbidität von erheblicher Schwere, Ausprägung und Dauer von Bedeutung ist für den invalidisierenden Charakter einer somatoformen Schmerzstörung. Das kantonale Gericht hat dieses Merkmal als nicht gegeben erachtet. Diese Feststellung ist nicht offensichtlich unrichtig. Prof. Dr. med. K.________ verneinte eine bedeutende Komorbidität. Auf Grund der Gutachten des Dr. med. A.________ vom 31. Oktober 2000 und 21. Oktober 2002 sowie des Dr. med. H.________ vom 27. November 2001 ist ein von der Schmerzstörung losgelöstes, eigenständiges depressives Zustandsbild von Krankheitswert nicht mit überwiegender Wahrscheinlichkeit gegeben (vgl. E. 4 bis 6 des Urteils I 655/03 vom 6. Mai 2004). Die weiteren von der Vorinstanz ebenfalls verneinten Kriterien für die Beurteilung des invalidisierenden Charakters der Schmerzstörung sind nicht von einer derartigen Ausprägung und Intensität, dass sie bei Fehlen einer psychischen Komorbidität den rechtlichen Schluss auf ein psychisches Leiden von Krankheitswert erlaubten. In diesem Zusammenhang trifft nicht zu, dass die Prüfung der Voraussetzungen anhand der obgenannten Kriterien eine "rein juristische Angelegenheit" und somit nicht Sache des Gutachters ist. Dabei handelt es sich ebenso wie bei der letztlich entscheidenden Frage der zumutbaren Willensanstrengung zur Überwindung der Schmerzen und Ausübung einer Erwerbstätigkeit um eine Tatfrage ( BGE 132 V 393 E. 3.2 S. 398). Unter diesen Umständen kann offen bleiben, inwiefern die von Prof. Dr. med. K.________ bejahte Aggravationstendenz tatsächlich besteht. Es änderte am Ergebnis nichts. Im Übrigen wird die vom psychiatrischen Gutachter erwähnte grosse Diskrepanz zwischen Beschwerdeschilderung und Verhalten in der Untersuchungssituation, was gegen den invalidisierenden Charakter des Leidens spricht ( BGE 131 V 49 S. 51 E. 1.2), nicht bestritten.</w:t>
      </w:r>
    </w:p>
    <w:p>
      <w:r>
        <w:rPr>
          <w:b/>
        </w:rPr>
        <w:t>E. 4.3</w:t>
      </w:r>
    </w:p>
    <w:p>
      <w:r>
        <w:t>Sodann kann aus der Tatsache allein, dass bereits psychotherapeutische Versuche unternommen wurden, aber scheiterten, nicht gefolgert werden, solche Massnahmen seien aus von der Beschwerdeführerin nicht zu verantwortenden Gründen nicht erfolgversprechend. Abgesehen davon geht es hier um eine prognostische Beurteilung. Bleibt eine zur Verbesserung oder zur Verhinderung einer Verschlechterung des Gesundheitszustandes notwendige, lege artis durchgeführte psychotherapeutische Behandlung bei vorhandener Motivation und Eigenanstrengung der versicherten Person erfolglos, kann dies allenfalls Anlass für eine Neuüberprüfung der Anspruchsberechtigung sein.</w:t>
      </w:r>
    </w:p>
    <w:p>
      <w:r>
        <w:rPr>
          <w:b/>
        </w:rPr>
        <w:t>E. 4.4</w:t>
      </w:r>
    </w:p>
    <w:p>
      <w:r>
        <w:t>Schliesslich ändern die in diesem Verfahren eingereichten ärztlichen Berichte nichts am Ergebnis einer zumutbaren Arbeitsfähigkeit von 100% für leichte körperliche Tätigkeiten mit der Möglichkeit zur Wechselbelastung. Entweder handelt es sich um ein unzulässiges neues Vorbringen ( Art. 99 Abs. 1 BGG ; vgl. BGE 121 II 97 E. 1c S. 99; BGE 120 V 481 E. 1d S. 485), oder es betrifft nicht den massgeblichen Prüfungszeitraum bis zum Erlass der Verfügung vom 3. April 2002 ( BGE 129 V 1 E. 1.2 S. 4).</w:t>
      </w:r>
    </w:p>
    <w:p>
      <w:r>
        <w:rPr>
          <w:b/>
        </w:rPr>
        <w:t>E. 5</w:t>
      </w:r>
    </w:p>
    <w:p>
      <w:r>
        <w:t>Das kantonale Gericht hat durch Einkommensvergleich (vgl. Art. 28 Abs. 2 IVG , in Kraft gestanden bis 31. Dezember 2002, und BGE 128 V 29 E. 1 S. 30) einen Invaliditätsgrad von 7% ([[Fr. 44'494.- - Fr. 41'284.-]/Fr. 44'494.-] x 100%) ermittelt, was keinen Anspruch auf eine Rente ergibt ( Art. 28 Abs. 1 IVG ).</w:t>
      </w:r>
    </w:p>
    <w:p>
      <w:r>
        <w:t>Dagegen wird vorgebracht, beim Valideneinkommen als Service-Angestellte seien der Service nicht berücksichtigt worden. Dabei handelt es sich um ein unzulässiges neues Vorbringen. Abgesehen davon ist im Gastgewerbe der Service im Preis inbegriffen. Die Berücksichtigung zusätzlicher Trinkgelder (Overtips) setzte voraus, dass darauf paritätische Beiträge erhoben wurden (vgl. BGE 115 V 416 E. 5 S. 419 ff.). Dies wird nicht geltend gemacht und ist auf Grund der Akten nicht anzunehmen. Ob sodann bei der Ermittlung des Invalideneinkommens auf der Grundlage der Schweizerischen Lohnstrukturerhebung 2000 des Bundesamtes für Statistik (LSE 00; BGE 129 V 472 E. 4.2.1 S. 475 f., 124 V 321) der maximal zulässige Abzug vom Tabellenlohn nach BGE 126 V 75 von 25% angemessen wäre, kann offenbleiben. Es ergäbe sich auch so kein anspruchsbegründender Invaliditätsgrad. Schliesslich fehlt es in Bezug auf die beantragte konkrete Festsetzung des Invaliditätsgrades an einem schutzwürdigen Feststellungsinteresse ( Art. 89 Abs. 1 lit. c BGG ). Die Invaliditätsschätzung der Invalidenversicherung entfaltet gegenüber dem Unfallversicherer keine (absolute) Bindungswirkung ( BGE 131 V 362 ).</w:t>
      </w:r>
    </w:p>
    <w:p>
      <w:r>
        <w:t>Der angefochtene Entscheid ist somit rechtens.</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