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9C_384/2010 vom 15. März 2011</w:t>
      </w:r>
    </w:p>
    <w:p>
      <w:r>
        <w:t>Bundesgericht, 2011-03-15, FR</w:t>
      </w:r>
    </w:p>
    <w:p>
      <w:r>
        <w:rPr>
          <w:b/>
        </w:rPr>
        <w:t xml:space="preserve">Quelle: </w:t>
      </w:r>
      <w:r>
        <w:t>https://mcp.opencaselaw.ch/entscheid/bger_9C_384_2010</w:t>
      </w:r>
    </w:p>
    <w:p>
      <w:r>
        <w:t>FR: TF 9C_384/2010 du 15 mars 2011</w:t>
      </w:r>
    </w:p>
    <w:p>
      <w:r>
        <w:t>IT: TF 9C_384/2010 del 15 marzo 2011</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litige porte sur les conditions de la remise de l'obligation de restituer la somme de 13'802 fr., singulièrement sur le point de savoir si le recourant remplit la condition de la bonne foi.</w:t>
      </w:r>
    </w:p>
    <w:p>
      <w:r>
        <w:t>La solution du litige ressortit à l' art. 25 al. 1 LPGA , ainsi qu'à l' art. 4 al. 1 et 2 OPGA .</w:t>
      </w:r>
    </w:p>
    <w:p>
      <w:r>
        <w:rPr>
          <w:b/>
        </w:rPr>
        <w:t>E. 3.1</w:t>
      </w:r>
    </w:p>
    <w:p>
      <w:r>
        <w:t>Les premiers juges ont rappelé que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 ATF 112 V 97 consid. 2c p. 103; 110 V 176 consid. 3c p. 180). Il y a négligence grave quand un ayant droit ne se conforme pas à ce qui peut raisonnablement être exigé d'une personne capable de discernement dans une situation identique et dans les mêmes circonstances ( ATF 110 V 176 consid. 3d p. 181). On ajoutera que la bonne foi doit être niée quand l'enrichi pouvait, au moment du versement, s'attendre à son obligation de restituer, parce qu'il savait ou devait savoir, en faisant preuve de l'attention requise, que la prestation était indue ( art. 3 al. 2 CC ; ATF 130 V 414 consid. 4.3 p. 419 sv et les références).</w:t>
      </w:r>
    </w:p>
    <w:p>
      <w:r>
        <w:rPr>
          <w:b/>
        </w:rPr>
        <w:t>E. 3.2</w:t>
      </w:r>
    </w:p>
    <w:p>
      <w:r>
        <w:t>L' art. 31 LPGA règle la question de l'avis obligatoire en cas de modification des circonstances une fois que des prestations ont été allouées (UELI KIESER, ATSG-Kommentar, 2e éd. 2009, n. 6 ss ad art. 31); pour les prestations complémentaires de droit fédéral, cette règle est énoncée à l' art. 24 OPC-AVS/AI . Ces dispositions ne s'appliquent pas lorsque l'administration, pourtant informée de tels changements, accorde néanmoins indûment trop de prestations à l'assuré (arrêt 8C_1042/2009 du 12 avril 2010, consid. 4.2, concernant un cas d'application de l' art. 77 RAI ).</w:t>
      </w:r>
    </w:p>
    <w:p>
      <w:r>
        <w:t>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w:t>
      </w:r>
    </w:p>
    <w:p>
      <w:r>
        <w:rPr>
          <w:b/>
        </w:rPr>
        <w:t>E. 3.3</w:t>
      </w:r>
    </w:p>
    <w:p>
      <w:r>
        <w:t>L'examen de l'attention exigible d'un ayant droit qui invoque sa bonne foi relève du droit et le Tribunal fédéral revoit librement ce point ( ATF 122 V 221 consid. 3 p. 223; 102 V 245 consid. b p. 246; arrêt 8C_594/2007 du 10 mars 2008).</w:t>
      </w:r>
    </w:p>
    <w:p>
      <w:r>
        <w:rPr>
          <w:b/>
        </w:rPr>
        <w:t>E. 4.1</w:t>
      </w:r>
    </w:p>
    <w:p>
      <w:r>
        <w:t>Dans sa décision sur opposition du 30 septembre 2009, l'intimé a considéré que la communication de la décision de rente du 23 novembre 2007, parvenue le 15 janvier 2008, était tardive. De ce chef, il a admis que la condition de la bonne foi du recourant n'était pas réalisée, ce qui l'a conduit à rejeter la demande de remise.</w:t>
      </w:r>
    </w:p>
    <w:p>
      <w:r>
        <w:rPr>
          <w:b/>
        </w:rPr>
        <w:t>E. 4.2</w:t>
      </w:r>
    </w:p>
    <w:p>
      <w:r>
        <w:t>Le tribunal cantonal a laissé ouverte la question du caractère éventuellement tardif de l'annonce du changement de situation économique résultant de l'octroi d'une rente de l'AVS à l'épouse. Selon les premiers juges, "en faisant preuve de la vigilance exigible" (jugement attaqué, consid. 6 p. 7), le recourant aurait aisément pu constater que l'augmentation des prestations complémentaires, objet de la décision du 8 février 2008, était erronée. Comme les ressources du couple s'étaient accrues à la suite du versement d'une rente AVS à l'épouse, le montant de la prestation complémentaire aurait dû être réduit au lieu d'être augmenté; l'épouse du recourant s'y attendait d'ailleurs puisqu'elle avait exprimé le souhait de continuer à bénéficier du subside à l'assurance-maladie. De plus, le montant annuel de 13'260 fr. pris en compte à titre de rentes de l'AVS ne correspondait à l'évidence pas au cumul des deux rentes annuelles annoncées.</w:t>
      </w:r>
    </w:p>
    <w:p>
      <w:r>
        <w:t>Implicitement, le tribunal cantonal en a déduit que le recourant aurait dû rendre l'intimé attentif à l'erreur de calcul qu'il venait de commettre dans sa décision du 8 février 2008. A l'instar de l'intimé, il a donc nié la bonne foi du recourant, par substitution de motifs.</w:t>
      </w:r>
    </w:p>
    <w:p>
      <w:r>
        <w:rPr>
          <w:b/>
        </w:rPr>
        <w:t>E. 4.3</w:t>
      </w:r>
    </w:p>
    <w:p>
      <w:r>
        <w:t>Le recourant se prévaut de sa bonne foi. D'une part, il rappelle que son épouse avait dûment annoncé le début du versement de sa rente AVS, par lettre du 11 janvier 2008. D'autre part, le recourant déclare que son épouse et lui-même n'avaient pas été surpris par l'augmentation de la prestation complémentaire consécutive à cette annonce, car sa rente AVS et la fortune du couple avaient diminué. Il précise qu'il ne doutait pas que le SPC ait pu commettre une erreur, qu'il aurait alors annoncée. Le recourant ajoute qu'une obligation de vérifier la feuille de calcul de la prestation complémentaire ne figure dans aucun document. A ce sujet, il estime que c'est à l'administration qu'il incombe d'inviter les bénéficiaires de telles prestations à vérifier les feuilles de calcul annexées aux décisions qui s'y rapportent, en vertu de son obligation de conseiller et de renseigner (art. 27 LGPA), cela d'autant plus lorsque les destinataires des prestations complémentaires sont des personnes âgées.</w:t>
      </w:r>
    </w:p>
    <w:p>
      <w:r>
        <w:t>Par ailleurs, le recourant se plaint d'arbitraire et de violation de son droit d'être entendu. Sur ce dernier point, il fait grief au tribunal cantonal d'avoir tranché la question de sa bonne foi en fonction d'un élément qui n'avait pas été discuté, soit le critère du manque de vigilance exigible.</w:t>
      </w:r>
    </w:p>
    <w:p>
      <w:r>
        <w:rPr>
          <w:b/>
        </w:rPr>
        <w:t>E. 5.1</w:t>
      </w:r>
    </w:p>
    <w:p>
      <w:r>
        <w:t>L'écoulement du temps, entre la décision de rente du 23 novembre 2007 et l'annonce du 11 janvier 2008, n'a joué aucun rôle sur le montant de la prestation complémentaire afférente au mois de décembre 2007 et à l'année 2008, car celle-ci n'a été arrêtée qu'après ladite annonce. Par ailleurs, ce facteur temporel n'a pas eu d'incidence sur l'erreur de calcul que l'intimé a commise le 8 février 2008, laquelle lui est exclusivement imputable.</w:t>
      </w:r>
    </w:p>
    <w:p>
      <w:r>
        <w:rPr>
          <w:b/>
        </w:rPr>
        <w:t>E. 5.2</w:t>
      </w:r>
    </w:p>
    <w:p>
      <w:r>
        <w:t>Demeure litigieux le point de savoir si la bonne foi du recourant (au sens de l' art. 25 al. 1 LPGA ) doit être niée pour le seul motif qu'il n'a pas signalé à l'intimé que le calcul du 8 février 2008 était erroné, ainsi que les premiers juges l'ont admis.</w:t>
      </w:r>
    </w:p>
    <w:p>
      <w:r>
        <w:t>A cet égard, le recourant reproche à juste titre au tribunal cantonal de n'avoir pas respecté son droit d'être entendu sur la question de l'omission de signaler à l'administration l'erreur qu'elle avait commise. En effet, de jurisprudence constante, si le juge cantonal entend confirmer une décision pour un motif substitué (notamment dans le cas de la suppression d'une rente d'invalidité), il doit donner à l'assuré la possibilité de s'exprimer, à peine de violer son droit d'être entendu garanti par l' art. 29 al. 2 Cst. ( ATF 125 V 368 consid. 2 p. 369 et les arrêts cités, consid. 4a p. 370). Le Tribunal fédéral ne saurait réparer une telle omission, compte tenu de son pouvoir d'examen restreint (arrêts 9C_272/2009 du 16 septembre 2009, in SVR 2010 IV n° 19 p. 58, et 8C_1027/2009 du 17 août 2010, in RSAS 2010 p. 514).</w:t>
      </w:r>
    </w:p>
    <w:p>
      <w:r>
        <w:t>Pour ce seul motif, sans procéder à ce stade à l'examen du cas à la lumière des règles rappelées ci-dessus (consid. 3) ou des autres moyens soulevés par le recourant (notamment l' art. 27 LPGA ), il sied de renvoyer la cause au tribunal cantonal afin qu'il invite les parties à s'exprimer sur le manque de vigilance qui a été reproché au recourant et ses conséquences dans le cas particulier, puis statue à nouveau.</w:t>
      </w:r>
    </w:p>
    <w:p>
      <w:r>
        <w:rPr>
          <w:b/>
        </w:rPr>
        <w:t>E. 6</w:t>
      </w:r>
    </w:p>
    <w:p>
      <w:r>
        <w:t>L'intimé, qui succombe, supportera les frais judiciaires qui seront arrêtés en fonction de la valeur litigieuse (art. 66 al. 1, 65 al. 2 et 3 LTF).</w:t>
      </w:r>
    </w:p>
    <w:p>
      <w:r>
        <w:t>Vu le sort du litige, la requête d'assistance judiciaire, limitée à la dispense de l'avance de frais,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