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9C_383/2015 vom 18. September 2015</w:t>
      </w:r>
    </w:p>
    <w:p>
      <w:r>
        <w:t>Bundesgericht, 2015-09-18, DE</w:t>
      </w:r>
    </w:p>
    <w:p>
      <w:r>
        <w:rPr>
          <w:b/>
        </w:rPr>
        <w:t xml:space="preserve">Quelle: </w:t>
      </w:r>
      <w:r>
        <w:t>https://mcp.opencaselaw.ch/entscheid/bger_9C_383_2015</w:t>
      </w:r>
    </w:p>
    <w:p>
      <w:r>
        <w:t>FR: TF 9C_383/2015 du 18 septembre 2015</w:t>
      </w:r>
    </w:p>
    <w:p>
      <w:r>
        <w:t>IT: TF 9C_383/2015 del 18 settembre 2015</w:t>
      </w:r>
    </w:p>
    <w:p>
      <w:pPr>
        <w:pStyle w:val="Heading2"/>
      </w:pPr>
      <w:r>
        <w:t>Erwägungen</w:t>
      </w:r>
    </w:p>
    <w:p>
      <w:r>
        <w:rPr>
          <w:b/>
        </w:rPr>
        <w:t>E. 1</w:t>
      </w:r>
    </w:p>
    <w:p>
      <w:r>
        <w:t>Mit Blick auf Art. 89 Abs. 1 lit. c BGG und die Beschwerdebegründung (vgl. MEYER/DORMANN, in: Basler Kommentar, Bundesgerichtsgesetz, 2. Aufl. 2011, N. 7 zu Art. 107 BGG ) ist das Rechtsbegehren des Beschwerdeführers so zu verstehen, dass es sich auf die Zeit vom 1. November 2010 bis 31. Dezember 2011 und ab 1. Mai 2012 bezieht.</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hat dem Gutachten der Gutachterstelle B.________ vom 15. Oktober 2013Beweiskraft beigemessen und gestützt darauf festgestellt, dem Beschwerdeführer seien leidensangepasste Tätigkeiten zu 100 % zumutbar, allerdings sei er im Zusammenhang mit Rückenoperationen vom 29. September 2009 bis 20. Juli 2010 und vom 25. Oktober 2011 bis Ende Januar 2012 vorübergehend vollständig arbeitsunfähig gewesen. Was den Einkommensvergleich betrifft, hat sie auf die Invaliditätsbemessung der Verwaltung in ihrer Beschwerdeantwort verwiesen und einen Invaliditätsgrad von 32 % ab 22. Juli 2012 resp. von 33 % ab Februar 2012 bestätigt. Folglich hat das kantonale Gericht - insbesondere unter Verweis auf Art. 88a Abs. 1 und 2 IVG - den vom 1. Januar bis 31. Oktober 2010 und vom 1. Januar bis 30. April 2012 befristeten Anspruch auf eine ganze Invalidenrente bestätigt.</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w:t>
      </w:r>
    </w:p>
    <w:p>
      <w:r>
        <w:t>Der Versicherte rügt an diversen Stellen, die Vorinstanz habe sich mit seiner Argumentation im kantonalen Beschwerdeverfahren ungenügend auseinandergesetzt. Indessen war eine sachgerechte Anfechtung des Entscheids vom 23. April 2015 möglich, weshalb nicht von einer Verletzung der - aus Art. 29 Abs. 2 BV sowie Art. 61 lit. h ATSG (SR 830.1) und Art. 112 Abs. 1 lit. b BGG abgeleiteten - Prüfungs- und Begründungspflicht gesprochen werden kann (vgl. BGE 134 I 83 E. 4.1 S. 88; 133 III 439 E. 3.3 S. 445; 124 V 180 E. 1a S. 181).</w:t>
      </w:r>
    </w:p>
    <w:p>
      <w:r>
        <w:rPr>
          <w:b/>
        </w:rPr>
        <w:t>E. 4.4</w:t>
      </w:r>
    </w:p>
    <w:p>
      <w:r>
        <w:t>Was der Beschwerdeführer gegen die Beweiskraft des Gutachtens der Gutachterstelle B.________ vorbringt, hält nicht stand: In Bezug auf die Einschätzungen des  Dr. med. C.________ hat das kantonale Gericht dem Unterschied zwischen Behandlungs- und Begutachtungsauftrag Rechnung getragen ( BGE 125 V 351 E. 3b/cc S. 353; Urteile 8C_740/2010 vom 29. September 2011 E. 6; 9C_842/2009 vom 17. November 2009 E. 2.2). Was das diagnostizierte Schmerzsyndrom anbelangt, besteht ein Konsens unter den Experten, dass weder aus somatischer noch aus psychiatrischer Sicht eine weitergehende als die attestierte qualitative Einschränkung begründet werden kann; somit enthält das Gutachten hinsichtlich der erwähnten Schmerzausweitung keinen unauflösbaren inneren Widerspruch. Was die geltend gemachten neurologischen Ausfälle resp. Sensibilitätsstörungen an Armen und Fingern betrifft, so berücksichtigte der neurologische Gutachter nicht nur die Angaben des Versicherten und die bei der Untersuchung u.a. der Extremitäten und Sensibilität erhobenen Befunde, sondern auch den (dem Gutachten beigelegten) Bericht des NeuroZentrums  D.________ vom 6. Januar 2013, wonach ein eindeutiges motorisches Defizit im Bereich der oberen Extremitäten klinisch nicht nachweisbar sei. In dieser Hinsicht ergibt sich auch aus der erstmals behaupteten Tatsache, dass sich der Versicherte am 10. November 2014 einer Schulteroperation unterzog (Bericht vom 11. November 2014), nichts zu seinen Gunsten: Einerseits ist die Behauptung (samt entsprechendem Bericht) von vornherein unzulässig (vgl. Art. 99 Abs. 1 BGG ), anderseits betrifft sie nicht den hier interessierenden Zeitraum bis zum Erlass der Verfügung vom 29. Januar 2014. Ausserdem fehlen Anhaltspunkte dafür, dass gebotene "neurologische Tests" nicht durchgeführt worden sein sollen. Weiter spricht der Umstand, dass das Gutachten in Kenntnis der vollständigen Vorakten, d.h. des Dossiers der IV-Stelle erstellt wurde, nicht gegen, sondern für dessen Beweiskraft (E. 4.1). Schliesslich bedeutet die orthopädisch festgestellte "gute Beweglichkeit" der Wirbelsäule nicht, dass der Experte die Rückenoperationen nicht oder nur ungenügend berücksichtigt haben soll; er legte denn auch nachvollziehbar dar, inwiefern er klinische Befunde erheben konnte, die zur Annahme von qualitativen Einschränkungen der Arbeitsfähigkeit führten. Insgesamt genügt das Gutachten der Gutachterstelle B.________ den Anforderungen an die Beweiskraft. Diesbezüglich beschränkt sich der Beschwerdeführer im Wesentlichen auf eine eigene, von der Vorinstanz abweichende Beweiswürdigung und Darstellung seiner gesundheitlichen Verhältnisse, was nicht genügt.</w:t>
      </w:r>
    </w:p>
    <w:p>
      <w:r>
        <w:rPr>
          <w:b/>
        </w:rPr>
        <w:t>E. 4.5</w:t>
      </w:r>
    </w:p>
    <w:p>
      <w:r>
        <w:t>Sodann hat die Vorinstanz zwar das Gutachten des Instituts für Rheumatologie und Schmerztherapie "  E.________" (  Dres. med. F.________ und  G.________) vom 16. September 2010 in die Beweiswürdigung miteinbezogen, ihre Feststellungen betreffend die Arbeitsfähigkeit indessen nicht darauf, sondern auf das Gutachten der Gutachterstelle B.________ abgestützt, wie sich aus E. 6 des angefochtenen Entscheids ergibt. In diesem Zusammenhang kann nicht von unvollständiger, geschweige denn willkürlicher (vgl. BGE 134 II 124 E. 4.1 S. 133 ; 132 I 175 E. 1.2 S. 177 ; 131 I 467 E. 3.1 S. 473 f.; je mit Hinweisen) Beweiserhebung und -würdigung gesprochen werden. Zudem ist allein der angefochtene Entscheid des kantonalen Versicherungsgerichts und nicht ein - ebenfalls erstmals behaupteter (vgl. Art. 99 Abs. 1 BGG ) - allfälliger Verstoss der IV-Stelle gegen das Datenschutzgesetz Gegenstand des bundesgerichtlichen Beschwerdeverfahrens (vgl. Art. 86 Abs. 1 lit. d BGG ). Damit bleiben die vorinstanzlichen Feststellungen betreffend die Arbeitsfähigkeit (E. 3) für das Bundesgericht verbindlich (E. 2).</w:t>
      </w:r>
    </w:p>
    <w:p>
      <w:r>
        <w:rPr>
          <w:b/>
        </w:rPr>
        <w:t>E. 5.1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9C_965/2010 vom 1. März 2011 E. 4.2; I 860/06 vom 7. November 2007 E. 3.2 und I 732/06 vom 2. Mai 2007 E. 4.2.2).</w:t>
      </w:r>
    </w:p>
    <w:p>
      <w:r>
        <w:rPr>
          <w:b/>
        </w:rPr>
        <w:t>E. 5.2</w:t>
      </w:r>
    </w:p>
    <w:p>
      <w:r>
        <w:t>Das kantonale Gericht hat für die Invaliditätsbemessung resp. die Festlegung des Valideneinkommens auf die Begründung der IV-Stelle zu den Verfügungen vom 29. Januar 2014 sowie auf die Vernehmlassung vom 24. April 2014 verwiesen und verbindlich (E. 2) festgestellt, dass für das Jahr 2010 sowohl bei Anknüpfung an den früher tatsächlich erzielten Verdienst als auch bei Berücksichtigung eines Tabellenlohnes der Schweizerischen Lohnstrukturerhebung des Bundesamtes für Statistik (LSE) "praktisch derselbe" Jahreslohn von Fr. 81'135.- resp. Fr. 81'120.- resultiere.</w:t>
      </w:r>
    </w:p>
    <w:p>
      <w:r>
        <w:rPr>
          <w:b/>
        </w:rPr>
        <w:t>E. 5.3</w:t>
      </w:r>
    </w:p>
    <w:p>
      <w:r>
        <w:t>Entgegen der Darlegung des Beschwerdeführers ist klar ersichtlich, dass die IV-Stelle in ihrer vorinstanzlichen Vernehmlassung die Tabelle TA1 der LSE 2010 heranzog und für das Valideneinkommen auf den Durchschnittslohn für Männer im Baugewerbe, Anforderungsniveau 1 und 2 (Verrichtung höchst anspruchsvoller und schwierigster resp. selbstständiger und qualifizierter Arbeiten) abstellte, was praxisgemässem Vorgehen entspricht (Urteil 8C_704/2009 vom 27. Januar 2010 E. 4.2.1.1 mit Hinweisen). Der Versicherte beruft sich auf den Durchschnittslohn im Niveau 1 und 2 der Tabelle TA1_b (LSE 2010). Dabei verkennt er, dass sich dieses Niveau auf die berufliche Stellung und nicht auf die Anforderungen des Arbeitsplatzes bezieht und nur für das oberste, obere und mittlere Kader gilt. Anhaltspunkte dafür, dass er überhaupt je Kaderfunktionen ausgeübt haben soll und entsprechende Fertigkeiten generell - für verschiedene Arbeitgeberinnen und Arbeitgeber - ein- und umsetzen könnte (vgl. Urteil 8C_704/2009 vom 27. Januar 2010 E. 4.2.1.2), sind nicht ersichtlich und wurden resp. werden auch nicht geltend gemacht. Die in der Tabelle TA1_b ausgewiesenen monatlichen Durchschnittslöhne für Männer im Niveau 4 (unterstes Kader) und solche ohne Kaderfunktion sind denn auch erheblich tiefer als der herangezogene Lohn der Tabelle TA1. Damit bleibt es beim vorinstanzlich bestätigten Valideneinkommen 2010 von Fr. 81'120.- resp. Fr. 81'135.-.</w:t>
      </w:r>
    </w:p>
    <w:p>
      <w:r>
        <w:rPr>
          <w:b/>
        </w:rPr>
        <w:t>E. 5.4</w:t>
      </w:r>
    </w:p>
    <w:p>
      <w:r>
        <w:t>Für die Vergleichseinkommen 2012 berücksichtigte die IV-Stelle die jeweilige Nominallohnentwicklung. Gegen diese Anpassung bringt der Beschwerdeführer nichts vor, weshalb sich diesbezüglich Weiterungen erübrigen. Die Beschwerde ist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