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382/2010 vom 24. November 2010</w:t>
      </w:r>
    </w:p>
    <w:p>
      <w:r>
        <w:t>Bundesgericht, 2010-11-24, FR</w:t>
      </w:r>
    </w:p>
    <w:p>
      <w:r>
        <w:rPr>
          <w:b/>
        </w:rPr>
        <w:t xml:space="preserve">Quelle: </w:t>
      </w:r>
      <w:r>
        <w:t>https://mcp.opencaselaw.ch/entscheid/bger_9C_382_2010</w:t>
      </w:r>
    </w:p>
    <w:p>
      <w:r>
        <w:t>FR: TF 9C 382/2010 du 24 novembre 2010</w:t>
      </w:r>
    </w:p>
    <w:p>
      <w:r>
        <w:t>IT: TF 9C 382/2010 del 24 novembre 2010</w:t>
      </w:r>
    </w:p>
    <w:p>
      <w:pPr>
        <w:pStyle w:val="Heading2"/>
      </w:pPr>
      <w:r>
        <w:t>Regeste</w:t>
      </w:r>
    </w:p>
    <w:p>
      <w:r>
        <w:t>Assurance-invalidité | Assurance-invalidité</w:t>
      </w:r>
    </w:p>
    <w:p>
      <w:pPr>
        <w:pStyle w:val="Heading2"/>
      </w:pPr>
      <w:r>
        <w:t>Erwägungen</w:t>
      </w:r>
    </w:p>
    <w:p>
      <w:r>
        <w:rPr>
          <w:b/>
        </w:rPr>
        <w:t>E. 1</w:t>
      </w:r>
    </w:p>
    <w:p>
      <w:r>
        <w:t>La voie du recours en matière de droit public ( art. 82 ss LTF ) est ouverte, la décision attaquée ayant été rendue dans une cause de droit public ( art. 82 let. a LTF ), sans que l'une des exceptions de l' art. 83 LTF ne soit réalisée. Le recours a été déposé contre une décision finale rendue en dernière instance cantonale ( art. 86 al. 1 let . d LTF). Le jugement attaqué peut dès lors faire l'objet d'un recours en matière de droit public, qui peut être formé notamment pour violation du droit fédéral ( art. 95 let. a LTF ), lequel comprend les droits constitutionnels. Il s'ensuit que le recours constitutionnel subsidiaire formé par C.________ est irrecevable ( art. 113 LTF ); le grief qu'elle y soulève sera toutefois traité comme faisant partie intégrante du recours en matière de droit public interjeté parallèlement.</w:t>
      </w:r>
    </w:p>
    <w:p>
      <w:r>
        <w:rPr>
          <w:b/>
        </w:rPr>
        <w:t>E. 2.1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Aucun fait nouveau ni preuve nouvelle ne peut être présenté à moins de résulter de la décision de l'autorité précédente ( art. 99 al. 1 LTF ).</w:t>
      </w:r>
    </w:p>
    <w:p>
      <w:r>
        <w:rPr>
          <w:b/>
        </w:rPr>
        <w:t>E. 2.2</w:t>
      </w:r>
    </w:p>
    <w:p>
      <w:r>
        <w:t>A l'appui de son recours, la recourante produit deux rapports médicaux, l'un établi par le docteur M.________, généraliste et médecin traitant, du 23 avril 2010 et l'autre par la doctoresse D.________, neurologue, du 26 avril 2010. Il s'agit de preuves nouvelles au sens de l' art. 99 al. 1 LTF qui ne sont pas recevables: établies postérieurement au jugement attaqué, elles ne peuvent par définition « résulter » du jugement entrepris (Meyer, in: Bundesgerichtsgesetz, Bâle 2008, ad art. 99 LTF , n. 43 p. 979).</w:t>
      </w:r>
    </w:p>
    <w:p>
      <w:r>
        <w:rPr>
          <w:b/>
        </w:rPr>
        <w:t>E. 3</w:t>
      </w:r>
    </w:p>
    <w:p>
      <w:r>
        <w:t>Le litige porte sur la suppression, par la voie de la révision, de la demi-rente allouée à la recourante par l'assurance-invalidité dès le 1er juillet 1986 (décision du 29 décembre 1986). A cet égard, le jugement entrepris expose correctement les règles légales et la jurisprudence sur les conditions de la révision, la notion d'invalidité et son évaluation ainsi que la valeur probante des certificats médicaux. Il suffit donc d'y renvoyer.</w:t>
      </w:r>
    </w:p>
    <w:p>
      <w:r>
        <w:rPr>
          <w:b/>
        </w:rPr>
        <w:t>E. 4</w:t>
      </w:r>
    </w:p>
    <w:p>
      <w:r>
        <w:t>La juridiction cantonale a retenu que l'évaluation de l'invalidité devait se faire selon la méthode mixte, étant donné que sans invalidité la recourante aurait consacré une moitié de son temps à son activité professionnelle et l'autre à ses tâches ménagères, ainsi qu'à l'éducation de ses enfants. Se référant à la jurisprudence ( ATF 134 V 9 ), les premiers juges ont considéré qu'il n'y avait pas lieu de tenir compte d'une augmentation du taux d'incapacité de travail qui résulterait de l'exercice simultané de l'activité professionnelle et de l'activité ménagère, car la recourante n'a jamais repris d'activité professionnelle depuis 2002, époque où elle a adopté son premier enfant. Ils ont pour cette raison refusé la demande de la recourante tendant à faire examiner par un médecin les éventuels effets réciproques de la poursuite d'une activité lucrative et de l'accomplissement des travaux ménagers.</w:t>
      </w:r>
    </w:p>
    <w:p>
      <w:r>
        <w:rPr>
          <w:b/>
        </w:rPr>
        <w:t>E. 5.1</w:t>
      </w:r>
    </w:p>
    <w:p>
      <w:r>
        <w:t>La recourante soulève tout d'abord le grief de violation du droit d'être entendue, en reprochant aux premiers juges d'avoir refusé l'offre de preuve présentée (soit soumettre les résultats de l'enquête ménagère à l'appréciation d'un médecin pour démontrer qu'elle ne pouvait à la fois exercer une activité professionnelle à mi-temps et effectuer des travaux ménagers). Le droit d'être entendu garanti par l' art. 29 al. 2 Cst. comprend celui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Dans la mesure où il porte sur le résultat de cette appréciation anticipée des preuves, le grief de violation du droit d'être entendu se confond avec celui de constatation inexacte (y compris arbitraire) ou incomplète des faits pertinents, que la recourante soulève également en soutenant qu'elle n'est pas en mesure d'exercer simultanément une activité professionnelle et ménagère, ce que la juridiction cantonale aurait manqué de constater en omettant de compléter au préalable l'instruction médicale sur ce point. Il sera examiné avec le fond du litige.</w:t>
      </w:r>
    </w:p>
    <w:p>
      <w:r>
        <w:rPr>
          <w:b/>
        </w:rPr>
        <w:t>E. 5.2</w:t>
      </w:r>
    </w:p>
    <w:p>
      <w:r>
        <w:t>Sur le fond, la recourante ne conteste pas que sans atteinte à la santé elle aurait exercé une activité lucrative à mi-temps et se serait occupée de son ménage le reste du temps. Elle ne critique pas non plus l'application de la méthode mixte d'évaluation de l'invalidité. Elle considère en revanche que l'atteinte à la santé dont elle souffre ne lui permet pas d'exercer une activité de maîtresse enfantine à mi-temps et de s'occuper de son ménage avec un taux d'empêchement de 11,1 % seulement. Selon elle, le cumul de ces activités entraîne une augmentation très importante de la fatigue et exclut qu'elle puisse mener de front toutes ses tâches; si elle travaillait à 50 %, elle ne pourrait plus du tout exercer d'activité ménagère vu qu'elle serait épuisée par l'exercice de sa profession. Dans la mesure où le jugement cantonal ne contient pas d'avis médical sur ce point, il serait fondé sur un état de fait incomplet.</w:t>
      </w:r>
    </w:p>
    <w:p>
      <w:r>
        <w:rPr>
          <w:b/>
        </w:rPr>
        <w:t>E. 5.3</w:t>
      </w:r>
    </w:p>
    <w:p>
      <w:r>
        <w:t>Selon la jurisprudence - rappelée par l'autorité cantonale de recours aux considérants de laquelle on peut renvoyer -, l'incapacité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(in casu, maîtresse de classe enfantine) ont des effets du point de vue de l'atteinte à la santé sur l'accomplissement des travaux ménagers et éducatifs, que l'assurée exploite pleinement et concrètement sa capacité résiduelle de travail après la survenance de l'invalidité. L'éventualité que les deux domaines d'activités puissent s'influencer réciproquement apparaîtra par ailleurs d'autant plus faible que leurs profils d'exigences seront complémentaires ( ATF 134 V 9 consid. 7.3.1 p. 12 et 7.3.3 p. 13; arrêt 9C_713/2007 du 8 août 2008 consid. 4.2). En l'espèce, il n'est pas contesté que la recourante a cessé de travailler comme maîtresse de classe enfantine en 2002 lors de l'adoption de son premier enfant et qu'elle n'a plus exercé sa profession pour laquelle une capacité de travail de 50 % lui a été reconnue. En conséquence, c'est à bon droit que la juridiction cantonale n'a pas pris en considération une diminution supplémentaire de la capacité de travail de la recourante dans la tenue du ménage en relation avec des efforts consentis dans l'exercice d'une activité professionnelle. Par ailleurs, il apparaît que l'activité de maîtresse de classe enfantine n'exige que peu d'effort physique et est ainsi complémentaire à l'activité ménagère. De plus, l'occupation à mi-temps d'une maîtresse de classe enfantine représente selon les documents au dossier (cf. questionnaires pour l'employeur) 11,5 périodes de 45 minutes par semaine, soit environ 8 heures 40 minutes à répartir sur deux jours et demi, ce qui représente approximativement 3 heures et demie par jour entier de travail. Si l'on ajoute au nombre restreint d'heures travaillées, le fait que les activités professionnelles et ménagères sont complémentaires et que la recourante, qui a fait elle-même une évaluation de son handicap ménager en procédure administrative, est arrivée à un résultat de 18,45 %, la juridiction cantonale n'a pas fait preuve d'arbitraire en admettant que la recourante ne pouvait pas se prévaloir d'un taux d'invalidité ménagère de 80 %, taux minimum pour pouvoir prétendre une rente (vu l'absence d'invalidité dans le second champ d'activités). A ce propos, le docteur M.________, qui avait attesté de l'impossibilité pour la recourante d'assumer sa vie quotidienne si elle devait travailler même à temps partiel dans l'enseignement, est arrivé à la conclusion qu'un quart de rente paraissait justifié (certificat du 8 septembre 2008). Le médecin n'a toutefois donné aucune précision concernant son appréciation, ni indiqué quelles seraient les activités ménagères concernées par la baisse de la capacité de travail, ni quelle serait l'étendue de cette diminution; faute de valeur probante, son évaluation ne saurait donc être suivie.</w:t>
      </w:r>
    </w:p>
    <w:p>
      <w:r>
        <w:rPr>
          <w:b/>
        </w:rPr>
        <w:t>E. 5.4</w:t>
      </w:r>
    </w:p>
    <w:p>
      <w:r>
        <w:t>Il résulte de ce qui précède que le recours est mal fondé.</w:t>
      </w:r>
    </w:p>
    <w:p>
      <w:r>
        <w:rPr>
          <w:b/>
        </w:rPr>
        <w:t>E. 6</w:t>
      </w:r>
    </w:p>
    <w:p>
      <w:r>
        <w:t>Vu l'issue du litige, les frais judiciaires sont mis à la charge de la recourante, qui succombe ( art. 66 al. 1 LTF ). Elle ne saurait en outre prétendre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