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381/2014 vom 10. November 2014</w:t>
      </w:r>
    </w:p>
    <w:p>
      <w:r>
        <w:t>Bundesgericht, 2014-11-10, FR</w:t>
      </w:r>
    </w:p>
    <w:p>
      <w:r>
        <w:rPr>
          <w:b/>
        </w:rPr>
        <w:t xml:space="preserve">Quelle: </w:t>
      </w:r>
      <w:r>
        <w:t>https://mcp.opencaselaw.ch/entscheid/bger_9C_381_2014</w:t>
      </w:r>
    </w:p>
    <w:p>
      <w:r>
        <w:t>FR: TF 9C 381/2014 du 10 novembre 2014</w:t>
      </w:r>
    </w:p>
    <w:p>
      <w:r>
        <w:t>IT: TF 9C 381/2014 del 10 novembre 2014</w:t>
      </w:r>
    </w:p>
    <w:p>
      <w:pPr>
        <w:pStyle w:val="Heading2"/>
      </w:pPr>
      <w:r>
        <w:t>Regeste</w:t>
      </w:r>
    </w:p>
    <w:p>
      <w:r>
        <w:t>Prestation complémentaire à l'AVS/AI (compensation de créances) | Prestations complémentaires à l'AVS/AI</w:t>
      </w:r>
    </w:p>
    <w:p>
      <w:pPr>
        <w:pStyle w:val="Heading2"/>
      </w:pPr>
      <w:r>
        <w:t>Erwägungen</w:t>
      </w:r>
    </w:p>
    <w:p>
      <w:r>
        <w:rPr>
          <w:b/>
        </w:rPr>
        <w:t>E. 1</w:t>
      </w:r>
    </w:p>
    <w:p>
      <w:r>
        <w:t>Saisi d'un recours en matière de droit public (cf. art. 82 ss LTF ) interjeté pour violation du droit fédéral (comprenant les droits fondamentaux) au sens de l' art. 95 let. a LTF , le Tribunal fédéral applique le droit d'office ( art. 106 al. 1 LTF ). Il statue sur la base des faits retenus par la juridiction précédente ( art. 105 al. 1 LTF ) qu'il peut rectifier ou compléter d'office si des lacunes et erreurs manifestes apparaissent aussitôt ( art. 105 al. 2 LTF ). Il n'examine en principe que les griefs allégués et motivés ( art. 42 al. 2 LTF ) surtout s'il portent sur la violation des droits fondamentaux ( art. 106 al. 2 LTF ). Il ne peut pas aller au-delà des conclusions des parties ( art. 107 al. 1 LTF ). Le recourant n'est habilité à critiquer la constatation des faits influant sur le sort du litige que si ceux-ci ont été établis en violation du droit ou de façon manifestement inexacte ( art. 97 al. 1 LTF ).</w:t>
      </w:r>
    </w:p>
    <w:p>
      <w:r>
        <w:rPr>
          <w:b/>
        </w:rPr>
        <w:t>E. 2</w:t>
      </w:r>
    </w:p>
    <w:p>
      <w:r>
        <w:t>Vu l'arrêt du Tribunal fédéral 9C_303/2011 qui a acquis force de chose jugée le 28 novembre 2011 (cf. art. 61 LTF ), la dernière décision administrative du 22 février 2013(concernant la notion d'objet de la contestation et ses implications dans le contentieux administratif, cf. ATF 131 V 164 consid. 2.1 p. 164; 125 V 413 consid. 2 p. 415; Meyer/von Zwehl, L'objet du litige en procédure de droit administratif, in: Mélanges Pierre Moor, 2005, p. 435 ss), les considérants ainsi que le dispositif du jugement cantonal du 12 mars 2014 et les griefs du recourant contre ce jugement (concernant le devoir d'allégation et de motivation, cf. Florence Aubry Girardin, in: Commentaire de la LTF, 2ème éd. 2014, n° 24 ad art. 42 LTF et les références jurisprudentielles citées), l'argumentation tendant à la remise en question ou à la reconsidération de la restitution et du refus de remettre l'obligation de restituer est irrecevable; seuls sont litigieux le bien-fondé d'une compensation du montant de 19'050 fr. réclamé en remboursement avec les prestations complémentaires ou les autres prestations d'assurances sociales perçues par le recourant et la négation par la juridiction cantonale de la réalisation des conditions de la révision de la décision de restitution.</w:t>
      </w:r>
    </w:p>
    <w:p>
      <w:r>
        <w:rPr>
          <w:b/>
        </w:rPr>
        <w:t>E. 3.1</w:t>
      </w:r>
    </w:p>
    <w:p>
      <w:r>
        <w:t>L'assuré fait grief au tribunal cantonal d'avoir écarté ses réflexions à propos du caractère irrécouvrable de sa dette de 19'050 francs. Il ne conteste pas formellement l'évaluation de sa fortune mais rappelle que les assurances-vie y figurant ont comme contre-partie le versement de rentes viagères prises en considération à titre de revenu dans le calcul des prestations complémentaires qu'il perçoit à l'heure actuelle et dont la suppression en cas de rachat entraînerait la perte d'un revenu indispensable.</w:t>
      </w:r>
    </w:p>
    <w:p>
      <w:r>
        <w:rPr>
          <w:b/>
        </w:rPr>
        <w:t>E. 3.2</w:t>
      </w:r>
    </w:p>
    <w:p>
      <w:r>
        <w:t>Si l'argumentation du recourant peut sembler pertinente, elle intervient néanmoins prématurément. Il ressort effectivement des constatations cantonales que, faute de proposition de remboursement acceptable, le bureau des prestations complémentaires intimé projetait de procéder à la retenue de la rente AVS dès le mois de décembre 2012 jusqu'à compensation du montant dû sans préciser les modalités de cette compensation. Le tribunal cantonal a entériné la compensation envisagée dans son principe. Il a rappelé - correctement - que des créances en restitution pouvaient être compensées avec les prestations complémentaires échues ou d'autres prestations échues dues en vertu de lois régissant d'autres assurances sociales pour autant que ces lois autorisent la compensation (cf. art. 27 OPC-AVS/AI et singulièrement art. 20 al. 2 LAVS ). Il a en outre mentionné des circonstances dans lesquelles une compensation était exclue (arrêt P4/86 du 14 décembre 1987 consid. 5 in: RCC 1985 p. 508) et indiqué l'état de la fortune ainsi que les dettes de l'assuré. Il a enfin expliqué que le minimum vital du droit des poursuites ne pouvait être entamé. Il ne s'est en revanche pas prononcé sur les modalités précises de la compensation dès lors que, en l'absence d'une décision rendue à cet égard, il n'avait aucune raison de le faire (cf. ATF 131 V 164 consid. 2.1 p. 164). Il appartiendra par conséquent à l'administration de réaliser concrètement la compensation projetée, conformément aux dispositions légales et aux principes jurisprudentiels régissant la matière, et de rendre une décision chiffrée, qui indique le minimum vital du recourant, qui permette ainsi de se déterminer sur le caractère irrécouvrable de la dette et contre laquelle l'assuré pourra recourir utilement.</w:t>
      </w:r>
    </w:p>
    <w:p>
      <w:r>
        <w:rPr>
          <w:b/>
        </w:rPr>
        <w:t>E. 4.1</w:t>
      </w:r>
    </w:p>
    <w:p>
      <w:r>
        <w:t>L'assuré allègue également que l'attestation de l'autorité fiscale du 12 avril 2011 déposée en première instance est un nouveau moyen de preuve justifiant une révision de la décision initiale de restitution que le bureau des prestations complémentaires intimé n'a pas pris en compte alors qu'il semblait correspondre aux critères de l' art. 53 al. 1 LPGA .</w:t>
      </w:r>
    </w:p>
    <w:p>
      <w:r>
        <w:rPr>
          <w:b/>
        </w:rPr>
        <w:t>E. 4.2</w:t>
      </w:r>
    </w:p>
    <w:p>
      <w:r>
        <w:t>Cette argumentation est infondée. A supposer que l'attestation fiscale évoquée constitue un moyen de preuve nouveau, le recourant aurait effectivement dû faire valoir ledit moyen auprès du Tribunal fédéral dans la mesure où son arrêt 9C_303/2011 rendu le 28 novembre 2011 s'est substitué au jugement cantonal du 19 mars 2011 qui confirmait la décision de restitution de 19'050 fr. prise le 19 septembre 2006 (cf. notamment arrêt 8C_602/2011 du 30 septembre 2011 consid. 1 et les références). Il aurait en outre dû appliquer les art. 121 ss LTF , ce qui n'a de toute évidence pas été le cas.</w:t>
      </w:r>
    </w:p>
    <w:p>
      <w:r>
        <w:rPr>
          <w:b/>
        </w:rPr>
        <w:t>E. 5</w:t>
      </w:r>
    </w:p>
    <w:p>
      <w:r>
        <w:t>Vu les circonstances, il convient de renoncer à percevoir des frais judiciaires (art. 66 al. 1 seconde phrase LTF) de sorte que la requête d'assistance judiciaire est sans objet. L'autorité intimée, qui obtient gain de cause,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