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9C_380/2011 vom 14. Dezember 2011</w:t>
      </w:r>
    </w:p>
    <w:p>
      <w:r>
        <w:t>Bundesgericht, 2011-12-14, FR</w:t>
      </w:r>
    </w:p>
    <w:p>
      <w:r>
        <w:rPr>
          <w:b/>
        </w:rPr>
        <w:t xml:space="preserve">Quelle: </w:t>
      </w:r>
      <w:r>
        <w:t>https://mcp.opencaselaw.ch/entscheid/bger_9C_380_2011</w:t>
      </w:r>
    </w:p>
    <w:p>
      <w:r>
        <w:t>FR: TF 9C_380/2011 du 14 décembre 2011</w:t>
      </w:r>
    </w:p>
    <w:p>
      <w:r>
        <w:t>IT: TF 9C_380/2011 del 14 dicembre 2011</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une rente, singulièrement sur l'évaluation de son invalidité. L'acte attaqué expose correctement les principes jurisprudentiels applicables à la résolution du cas de sorte qu'il suffit d'y renvoyer.</w:t>
      </w:r>
    </w:p>
    <w:p>
      <w:r>
        <w:rPr>
          <w:b/>
        </w:rPr>
        <w:t>E. 3.1</w:t>
      </w:r>
    </w:p>
    <w:p>
      <w:r>
        <w:t>En première instance, l'assuré a contesté le choix de l'office intimé de se fonder sur le salaire mensuel brut, toutes branches économiques confondues, pour un homme dans une activité simple et répétitive pour calculer son revenu d'invalide ainsi que le taux de réduction de ce revenu. Il soutenait qu'il n'était pas possible de prendre en considération le salaire moyen de tous les secteurs d'activité pour les hommes avec un niveau de qualification 4 du tableau TA1 de l'Enquête suisse sur la structure des salaires (ESS) publiée par l'Office fédéral de la statistique (4'806 fr. par mois) dans la mesure où ce genre d'activités ne correspondait pas à ses limitations fonctionnelles ni aux affections dont il souffrait. Il estimait qu'il fallait se référer au salaire réalisable dans les secteurs de l'hôtellerie et de la restauration (3'729 fr. par mois) ou des services personnels (3'774 fr. par mois) qui permettraient une meilleure mise en valeur de sa capacité résiduelle de travail, un aménagement facilité de son temps de travail et des contacts bénéfiques avec l'extérieur. Il considérait également qu'un abattement du revenu d'invalide de 10 % ne tenait pas compte de l'ensemble des circonstances particulières, soit des limitations rencontrées non seulement dans l'exercice d'une activité professionnelle mais aussi dans l'accomplissement des tâches quotidiennes. Il ajoutait encore que les données de l'ESS constituaient une moyenne nationale et qu'il était patent que les salaires versés en Valais étaient inférieurs à cette moyenne de sorte qu'une déduction de 15 % devait être retenue.</w:t>
      </w:r>
    </w:p>
    <w:p>
      <w:r>
        <w:rPr>
          <w:b/>
        </w:rPr>
        <w:t>E. 3.2</w:t>
      </w:r>
    </w:p>
    <w:p>
      <w:r>
        <w:t>La juridiction cantonale a répondu à chaque argument soulevé par le recourant contre la décision litigieuse. Elle a expliqué d'une manière générale la détermination du degré d'invalidité par la méthode de comparaison des revenus pour les assurés actifs ainsi que les raisons d'un recours aux données statistiques de l'ESS puis a constaté que les conditions d'application de ces principes étaient réunies dans le cas particulier et a vérifié les différentes étapes du calcul auquel avait procédé l'administration. Elle a ensuite écarté de manière circonstanciée la référence à un salaire réalisable dans les domaines de l'hôtellerie et de la restauration ou des services personnels dès lors que ces activités n'avaient aucun rapport avec la formation de l'assuré et qu'il n'était nullement établi que, d'une part, celui-ci pourrait concrètement mettre en valeur sa capacité de gain dans un secteur très éloigné de ses compétences professionnelles ni que, d'autre part, les activités en question pouvaient être qualifiées d'adaptées. Les premiers juges ont encore relevé que l'office intimé avait correctement motivé l'abattement du revenu d'invalide de 10 % en indiquant clairement les motifs qui l'avaient conduit à retenir certains critères (limitations fonctionnelles) et à en écarter certains autres (âge, absence de qualification professionnelles et ancienneté) et que le Tribunal fédéral avait déjà eu l'occasion de rejeter l'argument selon lequel les salaires valaisans étaient notoirement inférieurs à la moyenne nationale. Ils ont conclu que l'appréciation qui leur était soumise n'était dès lors pas contraire au droit.</w:t>
      </w:r>
    </w:p>
    <w:p>
      <w:r>
        <w:rPr>
          <w:b/>
        </w:rPr>
        <w:t>E. 4.1</w:t>
      </w:r>
    </w:p>
    <w:p>
      <w:r>
        <w:t>Le recourant reprend céans les deux mêmes griefs qu'il avait formulés auparavant (choix erroné des données statistiques pour fixer le revenu d'invalide; taux d'abattement insuffisant).</w:t>
      </w:r>
    </w:p>
    <w:p>
      <w:r>
        <w:rPr>
          <w:b/>
        </w:rPr>
        <w:t>E. 4.2</w:t>
      </w:r>
    </w:p>
    <w:p>
      <w:r>
        <w:t>S'agissant du premier reproche, le recourant ajoute à son ancienne argumentation que le métier de magasinier ou de logisticien était envisageable dans le secteur de l'hôtellerie et de la restauration et qu'il ne comportait pas de tâches contraires à ses limitations. Il cite à titre d'exemple la profession de gestionnaire en intendance. Ce nouvel argument n'est pas fondé dans la mesure où il s'agit à nouveau d'une allégation non étayée qui, si elle était avérée, ne changerait rien à la situation puisque les données statistiques afférentes à ce métier seraient de toute façon intégrées dans la valeur moyenne retenue par l'administration. On ajoutera que l'allusion au poste de gestionnaire en intendance n'est pas pertinente dès lors que la seule lecture de la description de l'activité en question montre que le recourant ne possède pas les compétences professionnelles nécessaires pour exercer un tel métier.</w:t>
      </w:r>
    </w:p>
    <w:p>
      <w:r>
        <w:rPr>
          <w:b/>
        </w:rPr>
        <w:t>E. 4.3</w:t>
      </w:r>
    </w:p>
    <w:p>
      <w:r>
        <w:t>S'agissant du second reproche, la comparaison du recours cantonal (p. 12 sv.) et du recours fédéral (p. 16) démontre que l'argumentation développée céans est rigoureusement identique à celle développée en première instance. Or, un mémoire de recours ne satisfait pas aux exigences minimales fixées à l' art. 42 al. 2 LTF lorsque sa motivation reprend mot pour mot l'argumentation déjà développée devant la juridiction inférieure ( ATF 134 II 244 consid. 2.3 p. 247), de sorte qu'il n'y a pas lieu d'entrer en matière. L'acte attaqué, dans son résultat, ne violerait de toute façon pas le droit fédéral même s'il appartenait au tribunal cantonal - contrairement aux principes que celui-ci a énoncés - d'examiner la décision administrative sous l'angle de l'opportunité ( ATF 137 V 71 ) puisque le recourant n'a présenté ni en première instance, ni en dernière instance de motifs convaincants qui justifierait de s'écarter de la déduction de 10 %.</w:t>
      </w:r>
    </w:p>
    <w:p>
      <w:r>
        <w:rPr>
          <w:b/>
        </w:rPr>
        <w:t>E. 5</w:t>
      </w:r>
    </w:p>
    <w:p>
      <w:r>
        <w:t>Vu l'issue du litige, les frais judiciaires sont mis à la charge de l'assuré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