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380/2008 vom 30. Oktober 2008</w:t>
      </w:r>
    </w:p>
    <w:p>
      <w:r>
        <w:t>Bundesgericht, 2008-10-30, DE</w:t>
      </w:r>
    </w:p>
    <w:p>
      <w:r>
        <w:rPr>
          <w:b/>
        </w:rPr>
        <w:t xml:space="preserve">Quelle: </w:t>
      </w:r>
      <w:r>
        <w:t>https://mcp.opencaselaw.ch/entscheid/bger_9C_380_2008</w:t>
      </w:r>
    </w:p>
    <w:p>
      <w:r>
        <w:t>FR: TF 9C 380/2008 du 30 octobre 2008</w:t>
      </w:r>
    </w:p>
    <w:p>
      <w:r>
        <w:t>IT: TF 9C 380/2008 del 30 ottobre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die Höhe des Rentenanspruchs ab 1. Januar 2004.</w:t>
      </w:r>
    </w:p>
    <w:p>
      <w:r>
        <w:rPr>
          <w:b/>
        </w:rPr>
        <w:t>E. 2.1</w:t>
      </w:r>
    </w:p>
    <w:p>
      <w:r>
        <w:t>Die von der Beschwerdeführerin als erstes aufgeworfene und von der Vorinstanz verneinte Frage, ob sie überhaupt berechtigt war, eine Rentenrevision durchzuführen, kann offen bleiben, ergibt doch ein korrekt durchgeführter Einkommensvergleich (siehe E. 2.2.1 - 2.2.3), dass der angefochtene Entscheid im Ergebnis (Anspruch auf eine Dreiviertelsrente) richtig ist. Es erübrigt sich daher, sich mit der Frage auseinanderzusetzen, ob innerhalb eines Jahres seit Inkrafttreten der 4. IV-Revision am 1. Januar 2004 nebst Renten von weniger als 40 % einzig bestimmte ganze Renten (so Urteil 9C_285/2008 vom 18. August 2008 E. 2.2) oder auch laufende halbe Renten mit - wie hier - einem Invaliditätsgrad von mindestens 60 % (so SVR 2006 IV Nr. 48 [I 586/04] S. 176 E. 2.2.2; vgl. auch Kreisschreiben über Invalidität und Hilflosigkeit in der Invalidenversicherung [KSHI] vom 1. Januar 2004 [KSHI], Rz. 10.011) voraussetzungslos einer Revision zu unterziehen sind.</w:t>
      </w:r>
    </w:p>
    <w:p>
      <w:r>
        <w:rPr>
          <w:b/>
        </w:rPr>
        <w:t>E. 2.2</w:t>
      </w:r>
    </w:p>
    <w:p>
      <w:r>
        <w:t>Zwar finden sich im angefochtenen Entscheid keine Feststellungen zur Frage, ob am 1. Januar 2004 die tatsächlichen und rechtlichen Voraussetzungen für die Ausrichtung einer halben oder einer Dreiviertelsrente gegeben waren. Eine Rückweisung an die Vorinstanz zur Ergänzung des Sachverhaltes erübrigt sich indessen, da sich der Invaliditätsgrad anhand der vorhandenen Akten ohne Weiteres ermitteln lässt:</w:t>
      </w:r>
    </w:p>
    <w:p>
      <w:r>
        <w:rPr>
          <w:b/>
        </w:rPr>
        <w:t>E. 2.2.1</w:t>
      </w:r>
    </w:p>
    <w:p>
      <w:r>
        <w:t>Es ist unbestritten, dass sich der Gesundheitszustand des Beschwerdegegners seit der ursprünglichen Rentenverfügung nicht verändert hat. Es ist daher von einer um 50 % eingeschränkten Arbeitsfähigkeit auszugehen.</w:t>
      </w:r>
    </w:p>
    <w:p>
      <w:r>
        <w:rPr>
          <w:b/>
        </w:rPr>
        <w:t>E. 2.2.2</w:t>
      </w:r>
    </w:p>
    <w:p>
      <w:r>
        <w:t>Das zeitmässig auf den Verhältnissen im Januar 2002 fussende, betragsmässig unbestrittene Valideneinkommen von Fr. 62'400.- ist indessen - wie der Beschwerdegegner zu Recht vorbringt - der seither eingetretenen Nominallohnentwicklung anzupassen. 2002 betrug diese 1,8 % und 2003 1,4 % (Die Volkswirtschaft 3/2007 S. 91 Tabelle B10.2), was ein im Gesundheitsfall erzielbares Einkommen von Fr. 64'412.50 ergibt.</w:t>
      </w:r>
    </w:p>
    <w:p>
      <w:r>
        <w:rPr>
          <w:b/>
        </w:rPr>
        <w:t>E. 2.2.3</w:t>
      </w:r>
    </w:p>
    <w:p>
      <w:r>
        <w:t>Beim Invalideneinkommen ist vom monatlichen Bruttolohn von Männern in einfachen und repetitiven Tätigkeiten des privaten Sektors von Fr. 4588.- gemäss der Schweizerischen Lohnstrukturerhebung 2004 des Bundesamtes für Statistik auszugehen (vgl. BGE 129 V 472 E. 4.2.1 S. 475 ff.). Daraus ergibt sich bei einer betriebsüblichen wöchentlichen Arbeitszeit von 41,6 Stunden (Die Volkswirtschaft a.a.O. S. 90 Tabelle B9.2) und einem zumutbaren Arbeitspensum von 50 % Fr. 28'629.-. Bei einem wie von der IV-Stelle gewährten Leidensabzug von 10 % resultiert ein Betrag von Fr. 25'766.-. Soweit der Beschwerdegegner einen Leidensabzug von 20 % verlangt, ist darauf hinzuweisen, dass die Gewährung des leidensbedingten Abzuges (vgl. dazu BGE 126 V 75 ) eine typische Ermessensfrage ist, deren Beantwortung letztinstanzlicher Korrektur nur mehr dort zugänglich ist, wo das Ermessen rechtsfehlerhaft ausgeübt worden ist, also Ermessensüberschreitung, -missbrauch oder -unterschreitung vorliegt ( BGE 132 V 393 E. 3.3 S. 399). Ob dies hier zutrifft, kann offen bleiben, da dies am Ergebnis ohnehin nichts ändern würde.</w:t>
      </w:r>
    </w:p>
    <w:p>
      <w:r>
        <w:rPr>
          <w:b/>
        </w:rPr>
        <w:t>E. 2.3</w:t>
      </w:r>
    </w:p>
    <w:p>
      <w:r>
        <w:t>Aus dem Vergleich der beiden hypothetischen Einkommen resultiert eine Erwerbseinbusse von 59,99 %, was gerundet (siehe zum Runden BGE 130 V 121 ) einen Invaliditätsgrad von 60 % ergibt. Der Beschwerdegegner hat somit ab 1. Januar 2004 Anspruch auf eine Dreiviertelsrente. Im Ergebnis ist daher der angefochtene Entscheid bundesrechtskonform.</w:t>
      </w:r>
    </w:p>
    <w:p>
      <w:r>
        <w:rPr>
          <w:b/>
        </w:rPr>
        <w:t>E. 3</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