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37/2010 vom 4. August 2010</w:t>
      </w:r>
    </w:p>
    <w:p>
      <w:r>
        <w:t>Bundesgericht, 2010-08-04, DE</w:t>
      </w:r>
    </w:p>
    <w:p>
      <w:r>
        <w:rPr>
          <w:b/>
        </w:rPr>
        <w:t xml:space="preserve">Quelle: </w:t>
      </w:r>
      <w:r>
        <w:t>https://mcp.opencaselaw.ch/entscheid/bger_9C_37_2010</w:t>
      </w:r>
    </w:p>
    <w:p>
      <w:r>
        <w:t>FR: TF 9C 37/2010 du 4 août 2010</w:t>
      </w:r>
    </w:p>
    <w:p>
      <w:r>
        <w:t>IT: TF 9C 37/2010 del 4 agosto 2010</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Umstritten ist die Überentschädigungsberechnung.</w:t>
      </w:r>
    </w:p>
    <w:p>
      <w:r>
        <w:rPr>
          <w:b/>
        </w:rPr>
        <w:t>E. 2.1</w:t>
      </w:r>
    </w:p>
    <w:p>
      <w:r>
        <w:t>Gemäss Art. 34a Abs. 1 BVG erlässt der Bundesrat Vorschriften zur Verhinderung ungerechtfertigter Vorteile des Versicherten oder seiner Hinterlassenen beim Zusammentreffen mehrerer Leistungen. Gestützt darauf bestimmt Art. 24 BVV 2 , dass die Vorsorgeeinrichtung die Hinterlassenen- und Invalidenleistungen kürzen kann, soweit sie zusammen mit anderen anrechenbaren Einkünften 90 Prozent des mutmasslich entgangenen Verdienstes übersteigen (Abs. 1).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zumutbarerweise noch erzielbare Erwerbs- oder Ersatzeinkommen angerechnet (Abs. 2).</w:t>
      </w:r>
    </w:p>
    <w:p>
      <w:r>
        <w:rPr>
          <w:b/>
        </w:rPr>
        <w:t>E. 2.2</w:t>
      </w:r>
    </w:p>
    <w:p>
      <w:r>
        <w:t>Die Vorsorgeeinrichtungen können sich im Überobligatoriumsbereich weitgehend frei einrichten ( Art. 49 Abs. 1 BVG ), sie haben dabei aber den verfassungsmässigen Minimalstandard (rechtsgleiche Behandlung, Willkürverbot, Verhältnismässigkeit; BGE 132 V 149 E. 5.2.4 S. 154 und 278 E. 4.2 281) zu wahren. Im Überobligatorium gelten daher nicht Art. 34a BVG und Art. 24 BVV 2 , sondern die reglementarischen Bestimmungen (Urteil 9C_711/2007 vom 19. Dezember 2008 E. 3.3, nicht publ. in: BGE 135 V 33 , aber in: SVR 2009 BVG Nr. 23 S. 83; Isabelle Vetter-Schreiber, Berufliche Vorsorge, 2009, N. 7 zu Art. 34a BVG ), welche auch strenger sein können als diejenigen der BVV 2, solange die Leistungen gemäss Obligatorium eingehalten werden (Urteil 9C_64/2010 vom 1. April 2010 E. 2.2, 9C_753/2009 vom 27. Januar 2010 E. 3.2, 9C_404/2008 vom 17. November 2008 E. 5, in: SVR 2009 BVG Nr. 11 S. 34, B 82/06 vom 19. Januar 2007 E. 2.2, in: SVR 2007 BVG Nr. 35 S. 125; vgl. auch Urteil 2A.398/2002 vom 9. Januar 2003 E. 3.2).</w:t>
      </w:r>
    </w:p>
    <w:p>
      <w:r>
        <w:rPr>
          <w:b/>
        </w:rPr>
        <w:t>E. 2.3</w:t>
      </w:r>
    </w:p>
    <w:p>
      <w:r>
        <w:t>Gemäss Art. 17.1 des Vorsorgereglements der Pensionskasse X.________ werden Invaliden- und Hinterlassenenleistungen gekürzt, soweit sie zusammen mit den entsprechenden Leistungen Dritter 100 % des letzten Jahresbezugs eines Versicherten übersteigen, wobei der letzte Jahresbezug dem Landesindex der Konsumentenpreise angepasst wird. Welche Leistungen der für die Kürzung massgebende letzte Jahresbezug umfasst, wird in Art. 17.5 des Reglements definiert; namentlich gehören Bonuszahlungen nur teilweise dazu. Indem die Beschwerdeführerin in ihrem Reglement die Überentschädigungsgrenze auf 100 % des letzten Jahresbezugs (indexiert) festgelegt hat, ist sie von Art. 24 BVV 2 abgewichen, was zulässig ist, soweit die getroffene Regelung den obligatorischen Mindestanspruch wahrt.</w:t>
      </w:r>
    </w:p>
    <w:p>
      <w:r>
        <w:rPr>
          <w:b/>
        </w:rPr>
        <w:t>E. 3</w:t>
      </w:r>
    </w:p>
    <w:p>
      <w:r>
        <w:t>In der im kantonalen Verfahren eingereichten Klage hatte der Versicherte das Vorliegen einer Überentschädigung generell verneint, indem er unter Einbezug der Mitarbeiteraktien von einem vor dem Unfall erzielten Einkommen von Fr. 115'288.- ausging, welches er auf das Jahr 2007 aufindexierte. An den auf diese Weise ermittelten Betrag von Fr. 123'646.- rechnete er die IV-Rente von Fr. 19'404.- und die UV-Rente von Fr. 63'930.- an, was einen offenen Schaden von Fr. 40'312.- ergab, der höher war als die reglementarische Rente. Gestützt auf die im Verlaufe des Schriftenwechsels eingereichten Stellungnahmen und Unterlagen erkannte die Vorinstanz, die Mitarbeiteraktien gehörten nicht zum Jahresbezug im Sinne von Art. 17 des Vorsorgereglements. Die von der Pensionskasse vorgenommene Überentschädigungsberechnung gemäss Leistungsbestätigung vom 5. Februar 2007 (gekürzte Rente von Fr. 12'120.-) erweise sich in Bezug auf die weitergehende Vorsorge als korrekt. In diesem Punkt besteht im letztinstanzlichen Verfahren keine Uneinigkeit mehr unter den Parteien. Sodann nahm die Vorinstanz die Obligatoriums-Vergleichsrechnung für das Jahr 2007 wie folgt vor: ungekürzte gesetzliche Rente Fr. 17'747.- mutmasslich entgangener Verdienst ( Art. 24 BVV 2 ) Fr. 111'231.- anzurechnende IV-Rente Fr. 19'404.- anzurechnende UV-Rente Fr. 73'859.- ungedeckter Betrag Fr. 17'968.- Sie gelangte zum Ergebnis, dass der ungedeckte Betrag (Fr. 17'968.-) höher sei als die obligatorische Rente (Fr. 17'747.-) und diese deshalb ungekürzt ausbezahlt werden müsse.</w:t>
      </w:r>
    </w:p>
    <w:p>
      <w:r>
        <w:rPr>
          <w:b/>
        </w:rPr>
        <w:t>E. 4.1</w:t>
      </w:r>
    </w:p>
    <w:p>
      <w:r>
        <w:t>Die Beschwerdeführerin kritisiert diese vorinstanzliche Vergleichsrechnung in zweierlei Hinsicht. Erstens habe das kantonale Gericht zu Unrecht den gesamten mutmasslich entgangenen Verdienst berücksichtigt statt nur 90 % desselben. Zweitens habe es die UV-Rente unrichtigerweise nur im Betrag von Fr. 73'859.- statt im vollen Umfang von Fr. 76'716.- angerechnet. Bei richtiger Ermittlung ergebe sich ein obligatorischer gekürzter Rentenanspruch von Fr. 3'990.-, welcher tiefer sei als die von ihr ausbezahlte Rente von Fr. 12'120.-.</w:t>
      </w:r>
    </w:p>
    <w:p>
      <w:r>
        <w:rPr>
          <w:b/>
        </w:rPr>
        <w:t>E. 4.2</w:t>
      </w:r>
    </w:p>
    <w:p>
      <w:r>
        <w:t>Zu Unrecht wendet der Beschwerdegegner ein, die von der Beschwerdeführerin vorgenommene Vergleichsrechnung sei wegen des Novenverbots ( Art. 99 BGG ) unzulässig. Denn die Bestimmung des Art. 99 BGG untersagt zwar neue Tatsachen und Beweismittel sowie neue Rechtsbegehren, aber nicht neue rechtliche Begründungen, die auf den von der Vorinstanz festgestellten Tatsachen beruhen (Ulrich Meyer, in: Basler Kommentar, Bundesgerichtsgesetz, 2008, N. 23 ff. zu Art. 99 BGG ; in BGE 133 III 421 nicht publ. E. 1.3 des Urteils 4A_28/2007 vom 30. Mai 2007; Urteil 4A_188/2007 vom 13. September 2007 E. 4.3.5). Die Beschwerdeführerin bringt eine rechtliche Argumentation vor, die sich auf die von der Vorinstanz getroffenen Feststellungen stützt, was zulässig ist.</w:t>
      </w:r>
    </w:p>
    <w:p>
      <w:r>
        <w:rPr>
          <w:b/>
        </w:rPr>
        <w:t>E. 4.3</w:t>
      </w:r>
    </w:p>
    <w:p>
      <w:r>
        <w:t>Demgegenüber ist die Beschwerde im ersten kritisierten Punkt, wonach die Vorinstanz zu Unrecht 100 statt 90 % des mutmasslich entgangenen Verdienstes berücksichtigt habe, offensichtlich begründet ( Art. 24 Abs. 1 BVV 2 ). Diese Korrektur allein führt bereits zur Gutheissung der Beschwerde, selbst wenn man die Rente der Unfallversicherung nur in dem von der Vorinstanz für richtig erachteten Umfang (Fr. 73'859.-) anrechnet, weil die von der Beschwerdeführerin ausgerichtete Rente (Fr. 12'120.-) den ungedeckten Betrag (Fr. 6'845.-) jedenfalls übersteigt: ungekürzte gesetzliche Rente Fr. 17'747.- mutmasslich entgangener Verdienst ( Art. 24 BVV 2 ) Fr. 100'108.- anzurechnende IV-Rente Fr. 19'404.- anzurechnende UV-Rente (gemäss vorinstanzlichem Entscheid) Fr. 73'859.- ungedeckter Betrag Fr. 6'845.- Ob die Beschwerdeführerin zu Recht geltend macht, die Rente der Unfallversicherung sei in vollen Umfang (das heisst mit Fr. 76'716.-) zu berücksichtigen, braucht bei dieser Sachlage nicht geprüft zu werden.</w:t>
      </w:r>
    </w:p>
    <w:p>
      <w:r>
        <w:rPr>
          <w:b/>
        </w:rPr>
        <w:t>E. 4.4</w:t>
      </w:r>
    </w:p>
    <w:p>
      <w:r>
        <w:t>Zusammenfassend ergibt sich, dass mit der Ausrichtung einer Rente von Fr. 12'120.- der obligatorische Mindestanspruch gewahrt ist.</w:t>
      </w:r>
    </w:p>
    <w:p>
      <w:r>
        <w:rPr>
          <w:b/>
        </w:rPr>
        <w:t>E. 5</w:t>
      </w:r>
    </w:p>
    <w:p>
      <w:r>
        <w:t>Entsprechend dem Ausgang des Verfahrens hat der Beschwerdegegner die Gerichtskosten zu tragen ( Art. 66 Abs. 1 BGG ). Der obsiegenden Pensionskasse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