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9C_37/2007 vom 9. Januar 2008</w:t>
      </w:r>
    </w:p>
    <w:p>
      <w:r>
        <w:t>Bundesgericht, 2008-01-09, FR</w:t>
      </w:r>
    </w:p>
    <w:p>
      <w:r>
        <w:rPr>
          <w:b/>
        </w:rPr>
        <w:t xml:space="preserve">Quelle: </w:t>
      </w:r>
      <w:r>
        <w:t>https://mcp.opencaselaw.ch/entscheid/bger_9C_37_2007</w:t>
      </w:r>
    </w:p>
    <w:p>
      <w:r>
        <w:t>FR: TF 9C_37/2007 du 9 janvier 2008</w:t>
      </w:r>
    </w:p>
    <w:p>
      <w:r>
        <w:t>IT: TF 9C_37/2007 del 9 gennaio 2008</w:t>
      </w:r>
    </w:p>
    <w:p>
      <w:pPr>
        <w:pStyle w:val="Heading2"/>
      </w:pPr>
      <w:r>
        <w:t>Erwägungen</w:t>
      </w:r>
    </w:p>
    <w:p>
      <w:r>
        <w:rPr>
          <w:b/>
        </w:rPr>
        <w:t>E. 1.1</w:t>
      </w:r>
    </w:p>
    <w:p>
      <w:r>
        <w:t>Le recours en matière de droit public ( art. 88 ss LTF ) peut être formé pour violation du droit selon les art. 95 et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pas ou plus discutées devant lui. Le principe d'allégation vaut plus particulièrement s'agissant de la violation des droits fondamentaux ainsi que des dispositions du droit cantonal ou intercantonal. Le Tribunal fédéral n'examine en effet de tels griefs que s'ils ont été invoqués et motivés par le recourant, conformément à l' art. 106 al. 2 LTF , c'est-à-dire s'ils ont été expressément soulevés et exposés de façon claire et détaillée dans le mémoire du recours en matière de droit public (cf. ATF 133 IV 286 consid. 1.4 p. 287, 133 III 393 consid. 6 p. 397, 130 I 26 consid. 2.1 p. 31).</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sinon, il n'est pas possible de tenir compte d'un état de fait qui diverge de celui contenu dans la décision attaquée ( ATF 133 II 249 consid. 1.4.3 p. 254; 133 IV 150 consid. 1.3 p. 152).</w:t>
      </w:r>
    </w:p>
    <w:p>
      <w:r>
        <w:rPr>
          <w:b/>
        </w:rPr>
        <w:t>E. 1.3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est une question de fait. L'étendue de l'abattement (justifié dans un cas concret) constitue une question typique relevant du pouvoir d'appréciation, qui est soumise à l'examen du juge de dernière instance uniquement si la juridiction cantonale a exercé celui-ci de manière contraire au droit, soit a commis un excès de pouvoir positif (Ermessensüberschreitung) ou négatif (Ermessensunterschreitung) de son pouvoir d'appréciation ( ATF 132 V 393 consid. 3.3 p. 399).</w:t>
      </w:r>
    </w:p>
    <w:p>
      <w:r>
        <w:rPr>
          <w:b/>
        </w:rPr>
        <w:t>E. 2</w:t>
      </w:r>
    </w:p>
    <w:p>
      <w:r>
        <w:t>Le jugement entrepris expose correctement les dispositions légales et la jurisprudence applicables en matière d'évaluation de l'invalidité, de sorte qu'il suffit d'y renvoyer.</w:t>
      </w:r>
    </w:p>
    <w:p>
      <w:r>
        <w:rPr>
          <w:b/>
        </w:rPr>
        <w:t>E. 3.1</w:t>
      </w:r>
    </w:p>
    <w:p>
      <w:r>
        <w:t>Se fondant sur les conclusions ressortant de l'expertise pluridisciplinaire réalisée par la Clinique X.________, les premiers juges ont constaté que le recourant disposait d'une capacité résiduelle de travail de 25 % dans toute activité adaptée à ses problèmes de santé. La comparaison d'un revenu d'invalide de 12'167 fr. 40, calculé sur la base des données statistiques résultant de l'Enquête suisse sur la structure des salaires (ESS) éditées par l'Office fédéral de la statistique, avec un revenu sans invalidité de 27'450 fr., correspondant au montant que le recourant aurait pu obtenir s'il avait maintenu son activité de maçon indépendant, aboutissait à un degré d'invalidité de 56 %, taux donnant droit à une demi-rente d'invalidité.</w:t>
      </w:r>
    </w:p>
    <w:p>
      <w:r>
        <w:rPr>
          <w:b/>
        </w:rPr>
        <w:t>E. 3.2</w:t>
      </w:r>
    </w:p>
    <w:p>
      <w:r>
        <w:t>Les griefs invoqués par le recourant ne sont pas de nature à remettre en cause le bien-fondé du jugement entrepris.</w:t>
      </w:r>
    </w:p>
    <w:p>
      <w:r>
        <w:rPr>
          <w:b/>
        </w:rPr>
        <w:t>E. 3.2.1</w:t>
      </w:r>
    </w:p>
    <w:p>
      <w:r>
        <w:t>En tant que le recourant se borne à soutenir que sa capacité résiduelle de travail ne dépasserait pas 15 % - sans plus amples explications -, il ne démontre pas en quoi la constatation des faits opérée par la juridiction cantonale serait manifestement inexacte ou incomplète sur ce point.</w:t>
      </w:r>
    </w:p>
    <w:p>
      <w:r>
        <w:rPr>
          <w:b/>
        </w:rPr>
        <w:t>E. 3.2.2</w:t>
      </w:r>
    </w:p>
    <w:p>
      <w:r>
        <w:t>En ce qui concerne la comparaison des revenus, le recourant conteste - de manière confuse et difficilement compréhensible - le fait que les premiers juges puissent arrêter le revenu d'invalide sur la base de données statistiques salariales, alors même que le revenu qu'il touchait avant l'apparition de ses problèmes de santé était, en comparaison, particulièrement modeste. Cela étant, les premiers juges - aux considérants desquels on peut renvoyer - n'ont pas violé le droit fédéral en considérant qu'en l'absence d'un revenu effectivement réalisé, le revenu que le recourant pouvait obtenir en exerçant l'activité qu'on pouvait raisonnablement exiger de lui devait être évalué sur la base des données statistiques résultant de l'Enquête suisse sur la structure des salaires ( ATF 126 V 75 consid. 3b/bb et les références p. 76). S'il est exact que le revenu d'invalide raisonnablement exigible du recourant se révèle supérieur - pour un taux d'activité identique - au revenu perçu avant la survenance de l'invalidité, cette circonstance n'autorise pas encore à s'écarter du salaire d'invalide ainsi déterminé. En réalité, le taux d'invalidité de 56 % - qui peut, certes, paraître faible au regard de la capacité résiduelle de travail - résulte du revenu particulièrement modeste retenu au titre de revenu sans invalidité. A défaut de critiques motivées à l'encontre de ce montant, il n'y a toutefois pas lieu d'en examiner le bien-fondé. Le degré d'invalidité auquel sont parvenus les premiers juges ne peut, par conséquent, qu'être confirmé.</w:t>
      </w:r>
    </w:p>
    <w:p>
      <w:r>
        <w:rPr>
          <w:b/>
        </w:rPr>
        <w:t>E. 4</w:t>
      </w:r>
    </w:p>
    <w:p>
      <w:r>
        <w:t>Manifestement mal fondé, le recours doit être rejeté selon la procédure simplifiée de l' art. 109 al. 2 let. a LTF , sans qu'il y ait lieu d'ordonner un échange d'écritures.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