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9C_379/2013 vom 13. November 2013</w:t>
      </w:r>
    </w:p>
    <w:p>
      <w:r>
        <w:t>Bundesgericht, 2013-11-13, DE</w:t>
      </w:r>
    </w:p>
    <w:p>
      <w:r>
        <w:rPr>
          <w:b/>
        </w:rPr>
        <w:t xml:space="preserve">Quelle: </w:t>
      </w:r>
      <w:r>
        <w:t>https://mcp.opencaselaw.ch/entscheid/bger_9C_379_2013</w:t>
      </w:r>
    </w:p>
    <w:p>
      <w:r>
        <w:t>FR: TF 9C_379/2013 du 13 novembre 2013</w:t>
      </w:r>
    </w:p>
    <w:p>
      <w:r>
        <w:t>IT: TF 9C_379/2013 del 13 novembre 2013</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Die Aufhebung der Invalidenrente erfolgte in Anwendung von lit. a Abs. 1 der am 1. Januar 2012 in Kraft getretenen Schlussbestimmungen der Änderung des IVG vom 18. März 2011 (6. IV-Revision, erstes Massnahmenpaket [AS 2011 5659; BBl 2011 2723 und 2010 1817]; nachfolgend: SchlB zur 6. IV-Revision).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2.2</w:t>
      </w:r>
    </w:p>
    <w:p>
      <w:r>
        <w:t>Beruhte die Zusprechung der Invalidenrente auf einer von lit. a SchlB zur 6. IV-Revision erfassten gesundheitlichen Beeinträchtigung, kann im vorgegebenen Zeitrahmen eine voraussetzungslose (namentlich nicht von einer massgebenden Veränderung im Sinne von Art. 17 Abs. 1 ATSG abhängige) Neubeurteilung des Rentenanspruchs stattfinden, sofern, wie hier der Fall, nicht eine der in Abs. 4 genannten Ausnahmesituationen gegeben ist. Bei der Zusprechung der Rente (Verfügung vom 14. Februar 2003) war das Gutachten des Neurochirurgen Dr. K.________, Spital X.________, vom 23. September 2002 massgebende medizinische Grundlage. Strittig ist, ob das dort dokumentierte Leiden (chronifiziertes Lumbovertebralsyndrom bei komplexer dysraphischer Störung, mit einem Tethered cord-Syndrom und einem sakralen Lipom) eine Anwendung der Schlussbestimmung zulässt.</w:t>
      </w:r>
    </w:p>
    <w:p>
      <w:r>
        <w:rPr>
          <w:b/>
        </w:rPr>
        <w:t>E. 3.1</w:t>
      </w:r>
    </w:p>
    <w:p>
      <w:r>
        <w:t>Das kantonale Gericht hielt zunächst fest, die vom Sachverständigen attestierte Arbeitsunfähigkeit basiere klarerweise auf einem organisch objektivierbaren Zustand, dessen Ursache bildgebend darstellbar sei (vgl. auch das MEDAS-Gutachten vom 5. April 2012, S. 28). Es ist nicht ersichtlich, inwiefern diese Tatsachenfeststellung offensichtlich unrichtig sein sollte. Das Bundesgericht ist somit im Rahmen der rechtlichen Würdigung daran gebunden (vgl. oben E. 1).</w:t>
      </w:r>
    </w:p>
    <w:p>
      <w:r>
        <w:rPr>
          <w:b/>
        </w:rPr>
        <w:t>E. 3.2.1</w:t>
      </w:r>
    </w:p>
    <w:p>
      <w:r>
        <w:t>Die Vorinstanz erwog, die von der IV-Stelle verlangte analoge Anwendung der Schlussbestimmung auf organisch objektivierbare Beschwerdebilder entspreche nicht dem Willen des Gesetzgebers. Unter diesem Titel sei eine Revision des laufenden Rentenanspruchs nicht möglich. Des Weitern werde nicht behauptet und sei aus den Akten auch nicht ersichtlich, dass eine Verbesserung des Gesundheitszustandes gegeben sei, die eine Aufhebung der Invalidenrente nach Art. 17 ATSG erlaube; die MEDAS-Gutachter hätten am 5. April 2012 eine seit dem Jahr 1999 konstant gleich hohe Arbeitsfähigkeit, mithin einen stationären Gesundheitszustand, bescheinigt. Ebensowenig sei - mit Blick auf die bei Erlass der Verfügung vom 14. Februar 2003 vorliegenden ärztlichen Einschätzungen - die Wiedererwägungsvoraussetzung der zweifellosen Unrichtigkeit ( Art. 53 Abs. 2 ATSG ) erfüllt.</w:t>
      </w:r>
    </w:p>
    <w:p>
      <w:r>
        <w:rPr>
          <w:b/>
        </w:rPr>
        <w:t>E. 3.2.2</w:t>
      </w:r>
    </w:p>
    <w:p>
      <w:r>
        <w:t>Die beschwerdeführende Verwaltung bringt vor, für die analoge Anwendung der Rechtsprechung zur somatoformen Schmerzstörung sei nicht vorausgesetzt, dass es sich um ein ausschliesslich syndromales Beschwerdebild handle. Das kantonale Gericht habe unberücksichtigt gelassen, dass ein syndromales Beschwerdebild auch bei teilweise organischer Ursache vorliegen könne. Zu prüfen sei, ob gestützt auf die organisch begründete Diagnose objektive Befunde erhoben worden seien, welche die geklagten Beschwerden hinreichend erklärten. Die neurochirurgische Begutachtung im Jahr 2003 habe weitgehend unauffällige objektive Befunde ergeben; es hätten sich keine mit der Wachstumsstörung des Rückenmarks ("tethered cord") zusammenhängenden charakteristischen Symptome oder Funktionsdefizite gefunden. Deswegen erkläre der organisch objektivierbare Befund die geklagten Rückenschmerzen allenfalls ansatzweise, nicht jedoch vollständig. Die ursprüngliche Rentenzusprache sei somit aufgrund eines pathogenetisch-ätiologisch unklaren syndromalen Beschwerdebildes ohne nachweisbare organische Grundlage erfolgt. Der Schlussfolgerung im beweiswertigen MEDAS-Gutachten vom 5. April 2012 entsprechend sei die Beschwerdegegnerin für leichte bis (kurzzeitig) mittelschwere, wechselbelastende Arbeiten bis auf eine 20-prozentige Leistungsminderung vollständig arbeitsfähig.</w:t>
      </w:r>
    </w:p>
    <w:p>
      <w:r>
        <w:rPr>
          <w:b/>
        </w:rPr>
        <w:t>E. 3.2.3</w:t>
      </w:r>
    </w:p>
    <w:p>
      <w:r>
        <w:t>Die Beschwerdeführerin macht zu Recht nicht geltend, der im Herbst 2002 neurochirurgisch diagnostizierte Gesundheitsschaden, der zur Zusprechung einer Invalidenrente ab April 2000 führte, gehöre als solcher zu den in lit. a SchlB zur 6. IV-Revision umschriebenen Krankheitsbildern. Mithin kann dahingestellt bleiben, ob das Anwendungsfeld der Schlussbestimmung von vornherein auf Krankheitsbilder beschränkt ist, welche ausdrücklich in die Rechtsprechung über die Zumutbarkeitsbeurteilung bei der somatoformen Schmerzstörung und gleichgestellten Leiden ( BGE 131 V 49 ; 130 V 352 ; zuletzt BGE 139 V 346 E. 2) einbezogen wurden (vgl. dazu AB 2010 N 2122 f., 2011 S 39 f.). Hier genügt die Feststellung, dass sich die Anwendbarkeit von lit. a SchlB zur 6. IV-Revision ausschliesslich aus der Natur des Gesundheitsschadens ergibt, auf dem die Rentenzusprechung beruhte. Zweck der Schlussbestimmung ist es, in den dort gezogenen Grenzen Rentenbezüger gleich zu behandeln wie Rentenanwärter. Die von der Beschwerdeführerin postulierte analogieweise Ausdehnung auf Fälle, in denen fraglich ist, ob die Abschätzung der funktionellen Folgen (vollständig) mit dem diagnostizierten Gesundheitsschaden korreliert, liesse sich weder mit dem klaren Wortlaut der Bestimmung noch mit der dahinter stehenden Regelungsabsicht begründen (vgl. BBl 2009 1841; AB 2011 S 39). Letzte umfasst nicht auch die Möglichkeit, im Ergebnis eine Wiedererwägung vornehmen zu können, ohne dass die ursprüngliche Rechtsanwendung zweifellos unrichtig gewesen war. Die Auffassung der Beschwerdeführerin, ein syndromales Beschwerdebild könne auch bei teilweise organischer Ursache gegeben sein, ist richtig; das ändert nach dem Gesagten indes nichts daran, dass ein einschlägiger Gesundheitsschaden für die Rentenzusprechung massgebend gewesen sein muss, was hier nicht der Fall ist (oben E. 3.1).</w:t>
      </w:r>
    </w:p>
    <w:p>
      <w:r>
        <w:rPr>
          <w:b/>
        </w:rPr>
        <w:t>E. 3.3</w:t>
      </w:r>
    </w:p>
    <w:p>
      <w:r>
        <w:t>Die Vorinstanz hat somit zu Recht gefolgert, die Voraussetzungen für eine Rentenüberprüfung gemäss lit. a SchlB zur 6. IV-Revision seien nicht erfüllt. Kommt es insoweit auf die Schlussfolgerungen des aktuellen MEDAS-Gutachtens nicht an, kann dahingestellt bleiben, ob die Kritik der Beschwerdegegnerin an der Expertise (vgl. Ziff. 4 f. der Beschwerdeantwort) begründet ist.</w:t>
      </w:r>
    </w:p>
    <w:p>
      <w:r>
        <w:t>Der angefochtene Entscheid verletzt auch anderweitig nicht Bundesrecht ( Art. 95 BGG ), namentlich nicht mit den ergänzenden Schlussfolgerungen, weder ergebe sich aus dem MEDAS-Gutachten ein Revisionsgrund nach Art. 17 ATSG noch liege ein Fall der Wiedererwägung gemäss Art. 53 Abs. 2 ATSG vor. Demgemäss bleibt es beim bisherigen Leistungsanspruch.</w:t>
      </w:r>
    </w:p>
    <w:p>
      <w:r>
        <w:rPr>
          <w:b/>
        </w:rPr>
        <w:t>E. 4</w:t>
      </w:r>
    </w:p>
    <w:p>
      <w:r>
        <w:t>Das Gesuch der Verwaltung um aufschiebende Wirkung der Beschwerde wird mit diesem Entscheid gegenstandslos. Dies gilt auch für den Antrag der Beschwerdegegnerin auf unentgeltliche Rechtspflege.</w:t>
      </w:r>
    </w:p>
    <w:p>
      <w:r>
        <w:rPr>
          <w:b/>
        </w:rPr>
        <w:t>E. 5</w:t>
      </w:r>
    </w:p>
    <w:p>
      <w:r>
        <w:t>Entsprechend dem Ausgang des Verfahrens sind die Gerichtskosten der Beschwerdeführerin aufzuerlegen ( Art. 66 Abs. 1 BGG ). Der obsiegenden, anwaltlich vertretenen Beschwerdegegnerin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