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9C_379/2008 vom 16. Juli 2008</w:t>
      </w:r>
    </w:p>
    <w:p>
      <w:r>
        <w:t>Bundesgericht, 2008-07-16, FR</w:t>
      </w:r>
    </w:p>
    <w:p>
      <w:r>
        <w:rPr>
          <w:b/>
        </w:rPr>
        <w:t xml:space="preserve">Quelle: </w:t>
      </w:r>
      <w:r>
        <w:t>https://mcp.opencaselaw.ch/entscheid/bger_9C_379_2008</w:t>
      </w:r>
    </w:p>
    <w:p>
      <w:r>
        <w:t>FR: TF 9C_379/2008 du 16 juillet 2008</w:t>
      </w:r>
    </w:p>
    <w:p>
      <w:r>
        <w:t>IT: TF 9C_379/2008 del 16 luglio 2008</w:t>
      </w:r>
    </w:p>
    <w:p>
      <w:pPr>
        <w:pStyle w:val="Heading2"/>
      </w:pPr>
      <w:r>
        <w:t>Erwägungen</w:t>
      </w:r>
    </w:p>
    <w:p>
      <w:r>
        <w:rPr>
          <w:b/>
        </w:rPr>
        <w:t>E. 1</w:t>
      </w:r>
    </w:p>
    <w:p>
      <w:r>
        <w:t>En tant que son dispositif renvoie la cause à l'administration pour instruction complémentaire, le jugement entrepris doit être qualifié de décision incidente qui ne peut être attaquée qu'aux conditions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2.1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2.2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2.3</w:t>
      </w:r>
    </w:p>
    <w:p>
      <w:r>
        <w:t>En l'espèce, la recourante n'établit pas que la décision incidente lui causerait un dommage irréparable ou qu'une décision finale immédiate permettrait d'éviter une procédure probatoire longue et coûteuse. En faisant valoir que les premiers juges n'avaient pas à s'écarter des expertises versées au dossier, la recourante s'en prend au contraire à la constatation des faits des premiers juges et à l'appréciation des preuves à laquelle ils ont procédé. Même si la décision de renvoi attaquée procédait d'une constatation manifestement inexacte ou incomplète des faits pertinents, cela ne constituerait pas un dommage qui ne pourrait plus être réparé en procédure au sens de l' art. 93 al. 1 let. a LTF .</w:t>
      </w:r>
    </w:p>
    <w:p>
      <w:r>
        <w:rPr>
          <w:b/>
        </w:rPr>
        <w:t>E. 2.4</w:t>
      </w:r>
    </w:p>
    <w:p>
      <w:r>
        <w:t>Dans la mesure où aucune des hypothèses prévues à l' art. 93 LTF n'est réalisée, le recours doit donc être déclaré irrecevable.</w:t>
      </w:r>
    </w:p>
    <w:p>
      <w:r>
        <w:rPr>
          <w:b/>
        </w:rPr>
        <w:t>E. 3</w:t>
      </w:r>
    </w:p>
    <w:p>
      <w:r>
        <w:t>La recourante a requis l'assistance judiciaire, mais a finalement versé l'avance de frais au lieu de déposer les pièces nécessaires à l'examen de sa demande, de sorte qu'on doit considérer qu'elle a retiré sa demande. Succombant, elle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