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378/2016 vom 28. Juni 2016</w:t>
      </w:r>
    </w:p>
    <w:p>
      <w:r>
        <w:t>Bundesgericht, 2016-06-28, DE</w:t>
      </w:r>
    </w:p>
    <w:p>
      <w:r>
        <w:rPr>
          <w:b/>
        </w:rPr>
        <w:t xml:space="preserve">Quelle: </w:t>
      </w:r>
      <w:r>
        <w:t>https://mcp.opencaselaw.ch/entscheid/bger_9C_378_2016</w:t>
      </w:r>
    </w:p>
    <w:p>
      <w:r>
        <w:t>FR: TF 9C 378/2016 du 28 juin 2016</w:t>
      </w:r>
    </w:p>
    <w:p>
      <w:r>
        <w:t>IT: TF 9C 378/2016 del 28 giugno 2016</w:t>
      </w:r>
    </w:p>
    <w:p>
      <w:pPr>
        <w:pStyle w:val="Heading2"/>
      </w:pPr>
      <w:r>
        <w:t>Regeste</w:t>
      </w:r>
    </w:p>
    <w:p>
      <w:r>
        <w:t>Invalidenversicherung | Invalidenversicherung</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Urteil 8C_832/2012 vom 28. Mai 2013).</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Die Bemessung der Entschädigung des unentgeltlichen Rechtsbeistandes im kantonalen Verfahren ist mangels bundesrechtlicher Bestimmungen dem kantonalen Recht überlassen (vgl. BGE 131 V 153 E. 6.1 S. 158), mit welchem sich das Bundesgericht unter Vorbehalt der in Art. 95 lit. c-e BGG genannten Ausnahmen (kantonale verfassungsmässige Rechte [lit. c], kantonale Bestimmungen über die politische Stimmberechtigung der Bürger und Bürgerinnen und über Volkswahlen und -abstimmungen [lit. d] sowie interkantonales Recht [lit. e])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Urteile 8C_832/2012 vom 28. Mai 2013 E. 2.2, 9C_284/2012 vom 18. Mai 2012 E. 2, je mit Hinweisen).</w:t>
      </w:r>
    </w:p>
    <w:p>
      <w:r>
        <w:rPr>
          <w:b/>
        </w:rPr>
        <w:t>E. 3.2</w:t>
      </w:r>
    </w:p>
    <w:p>
      <w:r>
        <w:t>Dem erstinstanzlichen Gericht ist bei der Bemessung der Entschädigung des unentgeltlichen Rechtsbeistandes praxisgemäss ein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 Urteil 8C_832/2012 vom 28. Mai 2013 E. 2.3).</w:t>
      </w:r>
    </w:p>
    <w:p>
      <w:r>
        <w:rPr>
          <w:b/>
        </w:rPr>
        <w:t>E. 3.3</w:t>
      </w:r>
    </w:p>
    <w:p>
      <w:r>
        <w:t>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(Urteile 8C_832/2012 vom 28. Mai 2013 E. 2.4, 8C_465/2012 vom 20. Dezember 2012 E. 2.1 mit Hinweis). 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je mit Hinweisen).</w:t>
      </w:r>
    </w:p>
    <w:p>
      <w:r>
        <w:rPr>
          <w:b/>
        </w:rPr>
        <w:t>E. 4.1</w:t>
      </w:r>
    </w:p>
    <w:p>
      <w:r>
        <w:t>Zur Begründung der Festsetzung der Entschädigung des unentgeltlichen Rechtsvertreters auf Fr. 2'700.- verwies die Vorinstanz zunächst auf § 34 des kantonalzürcherischen Gesetzes über das Sozialversicherungsgericht vom 7. März 1993 (GSVGer; LS 212.81), wonach sich die Höhe der gerichtlich festzusetzenden Entschädigung nach der Bedeutung der Streitsache, der Schwierigkeit des Prozesses und dem Mass des Obsiegens bestimmt, jedoch ohne Rücksicht auf den Streitwert. Im Weiteren zitierte das Sozialversicherungsgericht § 8 in Verbindung mit § 7 Abs. 1 der Verordnung über die Gebühren, Kosten und Entschädigungen vor dem Sozialversicherungsgericht; danach wird - auch im Rahmen der unentgeltlichen Rechtsvertretung - namentlich für unnötige Aufwendungen kein Ersatz gewährt. Gestützt auf diese kantonalen Bestimmungen legte es dar, der vom unentgeltlichen Rechtsvertreter mit Honorarnote vom 31. März 2015 geltend gemachte Aufwand von 26,2 Stunden sei der Bedeutung der Streitsache und der Schwierigkeit des Prozesses nicht angemessen, insbesondere aufgrund der Tatsache, dass er die Versicherte schon im Vorbescheidverfahren vertreten habe und die Akten somit bekannt gewesen seien. Sodann hätten die Vorbringen an der Hauptverhandlung in weiten Teilen der Beschwerdeschrift entsprochen. Ein Aufwand von 7,5 Stunden im Vorfeld der Hauptverhandlung sei überhöht. Mit Blick auf die zu studierenden relevanten Aktenstücke der Beschwerdegegnerin, die bezogen auf den Streitgegenstand rund sechs Seiten umfassende Beschwerdeschrift, die Aufwendungen im Zusammenhang mit dem Gesuch um unentgeltliche Rechtsvertretung sowie die in ähnlichen Fällen zugesprochenen Beträge sei die Entschädigung in Anwendung des gerichtsüblichen Stundenansatzes von Fr. 200.- (ab 1. Januar 2015 Fr. 220.-) auf Fr. 2'700.- (einschliesslich Barauslagen und Mehrwertsteuer) festzusetzen.</w:t>
      </w:r>
    </w:p>
    <w:p>
      <w:r>
        <w:rPr>
          <w:b/>
        </w:rPr>
        <w:t>E. 4.2</w:t>
      </w:r>
    </w:p>
    <w:p>
      <w:r>
        <w:t>Der Beschwerdeführer rügt die Reduktion der Entschädigung um rund 50 % im Vergleich zur Kostennote. Er wendet ein, der vorinstanzliche Entscheid sei im Entschädigungspunkt willkürlich und nicht hinreichend begründet, womit sein Anspruch auf rechtliches Gehör verletzt werde. Der Aufwand für die Hauptverhandlung samt Vorbereitung sei ausgewiesen. Stossend sei die Tatsache, dass seine Mandantin aufgrund des Verhaltens von Richter C.________ an der Hauptverhandlung vom 24. März 2015 "traumatisiert" gewesen sei. Dies habe eine Nachbesprechung mit der Klientin erfordert. Ferner sei die am 11. April 2016 eingereichte Honorarnote für den Zeitraum vom 31. März 2015 bis 29. März 2016 über einen Betrag von total Fr. 3'979.80 (einschliesslich Mehrwertsteuer) unberücksichtigt geblieben, was die Vorinstanz ihm gegenüber mit Schreiben vom 4. Mai 2016 damit begründet habe, dass ihr Entscheid am 5. April 2016 gefällt wurde. Auf den Entscheid betreffend Höhe der Entschädigung hätte die Vorinstanz zurückkommen können, nachdem die Kostennote am 11. April 2016 der Post übergeben wurde. Versandt worden sei der vorinstanzliche Entscheid erst am 25. April 2016. Dieses Verhalten sei willkürlich und verletze den Grundsatz von Treu und Glauben. Die Entschädigung für die unentgeltliche Verbeiständung im kantonalen Verfahren für die Periode vom 31. März 2012 bis 29. März 2016 sei angemessen zu erhöhen.</w:t>
      </w:r>
    </w:p>
    <w:p>
      <w:r>
        <w:rPr>
          <w:b/>
        </w:rPr>
        <w:t>E. 4.3</w:t>
      </w:r>
    </w:p>
    <w:p>
      <w:r>
        <w:t>Wie vorstehend dargelegt (E. 4.1 hievor), hat die Vorinstanz die Reduktion des Anwaltshonorars einlässlich begründet und festgehalten, weshalb sie die eingereichte Kostennote als zu hoch erachtet hat. Der Vorwurf, das kantonale Gericht habe mangels Begründung der Herabsetzung den Anspruch auf rechtliches Gehör verletzt, geht an der Sache vorbei. Nicht stichhaltig ist ferner auch der Vorwurf der willkürlichen Reduktion des Honorars des Beschwerdeführers als unentgeltlicher Rechtsbeistand. Was zunächst die am 11. April 2016 nachgereichte Honorarnote für den Zeitraum vom 31. März 2015 bis 29. März 2016 über Fr. 3'979.80 betrifft, ist der Beschwerdeführer darauf hinzuweisen, dass der angefochtene Entscheid das Datum des 5. April 2016 trägt, weshalb die nachträglich zugestellte Kostennote keine Berücksichtigung mehr finden konnte. Der Vorinstanz kann kein überspitzter Formalismus vorgeworfen werden, weil sie diese verspätet eingereichte Honorarnote bei der Festsetzung der Entschädigung für den unentgeltlichen Rechtsbeistand nicht miteinbezogen hat. Auch liegt darin keine Verletzung des Grundsatzes von Treu und Glauben. Soweit der Beschwerdeführer geltend macht, in Folge des Verhaltens von Sozialversicherungsrichter C.________ an der Hauptverhandlung vom 24. März 2015 sei seine Mandantin "traumatisiert" gewesen, weshalb eine Nachbesprechung erforderlich wurde, ist nicht erkennbar, worauf sich diese Aussage bezieht und wie sie verstanden werden soll. Im Urteil 9C_561/2015 vom 8. März 2016 betreffend das Ausstandsgesuch gegen Sozialversicherungsrichter C.________ hat das Bundesgericht die Abweisung des Ausstandsbegehrens durch die Vorinstanz bestätigt. Dabei ging es zwar um das Verhalten des Richters an der Hauptverhandlung vom 24. März 2015; inwiefern die Mandantin des Beschwerdeführers dabei "traumatisiert" worden sein soll, wird in der Beschwerde jedoch nicht näher erläutert. Des Weiteren lässt die vorinstanzliche Feststellung, der Aufwand von 7,5 Stunden für die Vorbesprechung und Vorbereitung der Hauptverhandlung und von weiteren 3,5 Stunden für die Teilnahme an dieser sei überhöht, nicht auf Willkür schliessen. Die Reduktion der geltend gemachten Entschädigung auf insgesamt Fr. 2'700.- (einschliesslich Barauslagen und Mehrwertsteuer) verletzt gemäss den vorstehenden Erwägungen weder das Willkürverbot noch eine andere Verfassungsbestimmung.</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