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9C_375/2017 vom 6. Juli 2017</w:t>
      </w:r>
    </w:p>
    <w:p>
      <w:r>
        <w:t>Bundesgericht, 2017-07-06, FR</w:t>
      </w:r>
    </w:p>
    <w:p>
      <w:r>
        <w:rPr>
          <w:b/>
        </w:rPr>
        <w:t xml:space="preserve">Quelle: </w:t>
      </w:r>
      <w:r>
        <w:t>https://mcp.opencaselaw.ch/entscheid/bger_9C_375_2017</w:t>
      </w:r>
    </w:p>
    <w:p>
      <w:r>
        <w:t>FR: TF 9C_375/2017 du 6 juillet 2017</w:t>
      </w:r>
    </w:p>
    <w:p>
      <w:r>
        <w:t>IT: TF 9C_375/2017 del 6 luglio 2017</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t>En particulier, compte tenu de son pouvoir d'examen restreint,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rPr>
          <w:b/>
        </w:rPr>
        <w:t>E. 2</w:t>
      </w:r>
    </w:p>
    <w:p>
      <w:r>
        <w:t>Au regard des conclusions et motifs du recours, le litige porte sur le droit du recourant à une rente d'invalidité, e n particulier sur l'évaluation de sa capacité de travail résiduelle et la nature des activités encore exigibles de sa part. Le jugement entrepris expose correctement les dispositions légales et les principes jurisprudentiels nécessaires à la solution du litige, de sorte qu'il suffit d'y renvoyer.</w:t>
      </w:r>
    </w:p>
    <w:p>
      <w:r>
        <w:rPr>
          <w:b/>
        </w:rPr>
        <w:t>E. 3.1</w:t>
      </w:r>
    </w:p>
    <w:p>
      <w:r>
        <w:t>Dans un premier grief, le recourant invoque une constatation arbitraire des faits déterminants en tant que le Tribunal administratif fédéral a retenu une pleine capacité de travail dans une activité adaptée en se fondant sur l'expertise bidisciplinaire du 18 novembre 2013. Celle-ci comporte, selon lui, des incohérences et des lacunes de sorte qu'elle est dénuée de valeur probante. Il reproche en outre à la juridiction précédente de n'avoir pas indiqué la raison pour laquelle elle a privilégié cette expertise au détriment des avis des docteurs D.________, spécialiste en rhumatologie (formulaire E 213 du 28 juillet 2010) et F.________, médecin traitant (rapport du 21 novembre 2011).</w:t>
      </w:r>
    </w:p>
    <w:p>
      <w:r>
        <w:t>En l'occurrence, les premiers juges ont expliqué de façon circonstanciée les raisons pour lesquelles ils ont suivi les conclusions des médecins chargés de l'expertise bidisciplinaire du 18 novembre 2013 et non pas celles des docteurs D.________ et F.________, dont les rapports n'avaient pas la valeur probante que le recourant voulait leur accorder. En effet, outre leur caractère lacunaire et contradictoire, ces rapports ne permettaient pas d'évaluer la capacité de travail de l'assuré, de sorte que le Tribunal administratif fédéral avait renvoyé une première fois la cause à l'OAIE en vue de mettre en oeuvre une expertise bidisciplinaire (arrêt du 22 octobre 2012). Contrairement à ce que soutient le recourant, cette évaluation médicale n'est pas incohérente. Les docteurs B.________ et C.________ ont expliqué de manière claire et dûment motivée quelles étaient les atteintes à la santé dont souffrait l'assuré et leurs répercussions sur sa capacité de travail. Leur expertise n'est pas non plus lacunaire, dans la mesure où - comme le relève la juridiction précédente - les experts n'étaient pas tenus de donner une description détaillée des activités encore exigibles (cf. arrêt I 636/06 du 22 septembre 2006 consid. 3.2). Dans ces conditions, les premiers juges pouvaient sans arbitraire se fonder sur l'expertise du 18 novembre 2013; leur constatation d'une capacité de travail entière dans une activité adaptée n'apparaît dès lors pas manifestement inexacte.</w:t>
      </w:r>
    </w:p>
    <w:p>
      <w:r>
        <w:rPr>
          <w:b/>
        </w:rPr>
        <w:t>E. 3.2</w:t>
      </w:r>
    </w:p>
    <w:p>
      <w:r>
        <w:t>Dans un second grief, également tiré de l'appréciation arbitraire des preuves, le recourant reproche au Tribunal administratif fédéral de s'être fondé sur des activités adaptées irréalistes au regard des limitations fonctionnelles mises en évidence par les docteurs B.________, C.________, D.________ et F.________, dont le docteur E.________ n'aurait pas tenu compte. Il soutient, de plus, qu'une réinsertion professionnelle est irréaliste.</w:t>
      </w:r>
    </w:p>
    <w:p>
      <w:r>
        <w:t>En l'espèce, les premiers juges ont exposé de manière circonstanciée les motifs qui les ont amenés à suivre les conclusions du docteur E.________ qui emportaient leur conviction. Ils ont considéré qu'au vu des rapports lacunaires et contradictoires des docteurs D.________ et F.________ (consid. 4.2</w:t>
      </w:r>
    </w:p>
    <w:p>
      <w:r>
        <w:t>supra ), le docteur E.________ était fondé à écarter leurs conclusions pour procéder à sa propre évaluation de la situation en fonction des conclusions des experts B.________ et C.________. S'agissant de l'expertise bidisciplinaire du 18 novembre 2013, les premiers juges ont clairement établi que le médecin du SMR avait bel et bien pris en compte les limitations fonctionnelles décrites dans celle-ci pour déterminer les activités encore exigibles de la part de l'assuré, à l'exception de celle de vendeur en grande surface. A ces considérations, le recourant ne fait qu'opposer son point de vue sur les activités énumérées par la juridiction de première instance, sans en démontrer le caractère arbitraire.</w:t>
      </w:r>
    </w:p>
    <w:p>
      <w:r>
        <w:t>Quant au motif tiré d'une réinsertion professionnelle irréaliste, il constitue un simple allégué du recourant, sans fondement. Ainsi que les premiers juges l'ont retenu, les différentes activités énumérées offrent des possibilités d'emploi concrètes, adaptées aux limitations fonctionnelles de l'assuré et ne demandent pas de concessions irréalistes de la part d'un potentiel employeur. Dans ce contexte, la situation personnelle de l'intéressé, âgé de 57 ans au moment de l'expertise bidisciplinaire du 2 novembre 2013 (cf. ATF 138 V 457 ) a dûment été prise en compte lors de la détermination du revenu d'invalide puisqu'un abattement (cf. ATF 126 V 75 ) de 15 % a été appliqué sur le revenu tiré des données de l'Enquête suisse de la structure des salaires. Pour le surplus, le calcul du degré de l'invalidité n'est, en tant que tel, pas remis en cause par le recourant.</w:t>
      </w:r>
    </w:p>
    <w:p>
      <w:r>
        <w:rPr>
          <w:b/>
        </w:rPr>
        <w:t>E. 3.3</w:t>
      </w:r>
    </w:p>
    <w:p>
      <w:r>
        <w:t>Il résulte de ce qui précède que le recours est mal fondé.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