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9C_375/2009 vom 8. Oktober 2009</w:t>
      </w:r>
    </w:p>
    <w:p>
      <w:r>
        <w:t>Bundesgericht, 2009-10-08, DE</w:t>
      </w:r>
    </w:p>
    <w:p>
      <w:r>
        <w:rPr>
          <w:b/>
        </w:rPr>
        <w:t xml:space="preserve">Quelle: </w:t>
      </w:r>
      <w:r>
        <w:t>https://mcp.opencaselaw.ch/entscheid/bger_9C_375_2009</w:t>
      </w:r>
    </w:p>
    <w:p>
      <w:r>
        <w:t>FR: TF 9C_375/2009 du 8 octobre 2009</w:t>
      </w:r>
    </w:p>
    <w:p>
      <w:r>
        <w:t>IT: TF 9C_375/2009 del 8 ottobre 2009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einzig, ob die anwaltlich vertretene und im vorinstanzlichen Verfahren obsiegende Vorsorgeeinrichtung aufgrund mutwilliger Prozessverursachung Anspruch auf eine Parteientschädigung hat.</w:t>
      </w:r>
    </w:p>
    <w:p>
      <w:r>
        <w:rPr>
          <w:b/>
        </w:rPr>
        <w:t>E. 3.1</w:t>
      </w:r>
    </w:p>
    <w:p>
      <w:r>
        <w:t>Die bundesrechtliche Minimalanforderung der Kostenlosigkeit des Verfahrens nach Art. 73 Abs. 2 BVG (SR 831.40) steht unter dem Vorbehalt des allgemeinen sozialversicherungsrechtlichen Verfahrensgrundsatzes, dass die Partei nicht in Mutwilligkeit oder Leichtsinn verfallen ist ( BGE 126 V 143 E. 4a S. 149 f.; SZS 2003 S. 360, B 108/01 E. 5.1.1, mit weiteren Hinweisen). Die Bejahung einer mutwilligen oder leichtsinnigen Prozessführung führt zur Pflicht, nicht nur die Verfahrenskosten zu tragen ( BGE 118 V 316 ), sondern auch die obsiegende Vorsorgeeinrichtung, soweit anwaltlich (oder sonst wie qualifiziert, d.h. im Rahmen eines den Ersatz der Verbeiständungskosten begründenden Mandatsverhältnisses mit einer Fachperson) vertreten, zu entschädigen, vorausgesetzt es finde sich im kantonalen Verfahrensrecht für einen solchen Parteientschädigungsanspruch die erforderliche gesetzliche Grundlage ( BGE 128 V 323 E. 1a S. 323 f.; 127 V 205 ; 126 V 143 E. 4 S. 149 ff.; SZS 2003 S. 360, B 108/01 E. 5.1.1).</w:t>
      </w:r>
    </w:p>
    <w:p>
      <w:r>
        <w:t>Wer als Arbeitgeber Rechnungen und Mahnungen betreffend die berufliche Vorsorge nicht beachtet, sich deswegen von der Vorsorgeeinrichtung betreiben lässt, diese - bei materiell offensichtlich unbegründetem Standpunkt - mittels Rechtsvorschlag zwingt, den Rechtsweg zu beschreiten, in eben diesem selber veranlassten Prozess nichts von sich hören lässt und somit nicht das Geringste zur Klärung des Sachverhalts beiträgt, handelt mutwillig. Eine solche Prozessverursachung verbunden mit der durch Untätigkeit geprägten Haltung im Gerichtsverfahren, welche insgesamt auf eine Verzögerungstaktik des Zahlungspflichtigen hinausläuft, ist durch Auferlegung von Kosten zu sanktionieren ( BGE 124 V 285 E. 4b S. 289, mit weiteren Hinweisen).</w:t>
      </w:r>
    </w:p>
    <w:p>
      <w:r>
        <w:rPr>
          <w:b/>
        </w:rPr>
        <w:t>E. 3.2</w:t>
      </w:r>
    </w:p>
    <w:p>
      <w:r>
        <w:t>Die in zeitlicher Hinsicht (vgl. § 84 des aargauischen Gesetzes über die Verwaltungsrechtspflege vom 4. Dezember 2007 [SAR 271.200]) massgebliche kantonalrechtliche Grundlage findet sich in den bis 31. Dezember 2008 geltenden Bestimmungen von § 2 der Verordnung über die Rechtspflege in der beruflichen Vorsorge vom 2. Juli 1984 (SAR 271.133; VRbV) in Verbindung mit § 41 Abs. 2 der Verordnung über die Rechtspflege in Sozialversicherungssachen vom 22. Dezember 1964 (VRS). Lässt sich nach kantonalem Recht die streitige Forderung nicht unter den in § 41 Abs. 2 VRS genannten Begriff "Verfahrenskosten" subsumieren, ist gemäss § 2 VRbV in Verbindung mit § § 42 und 30 VRS die Regelung von § 112 Abs. 1 der Zivilprozessordnung vom 18. Dezember 1984 (SAR 221.100; ZPO) als Grundlage für die Auferlegung einer Parteientschädigung heranzuziehen, zumal der Verweis von § 30 VRS hinsichtlich der Prozesskosten auch Parteikosten umfasst (vgl. § 100 Abs. 1 ZPO ).</w:t>
      </w:r>
    </w:p>
    <w:p>
      <w:r>
        <w:t>Die Feststellungen des kantonalen Gerichts, wonach die Beschwerdegegnerin als angeschlossene Arbeitgeberin Rechnungen und Mahnungen der Vorsorgeeinrichtung nicht beachtet, in den Betreibungsverfahren unbegründet Rechtsvorschlag erhoben und sich im Gerichtsverfahren auch innert Nachfrist nicht geäussert habe, sind nicht offensichtlich unrichtig und daher für das Bundesgericht verbindlich (E. 1). Zu Recht hat die Vorinstanz dieses Verhalten als mutwillig bezeichnet und der Beschwerdegegnerin daher Gerichtskosten auferlegt. Weshalb dieses Gebaren in Bezug auf das Gericht oder die Vorsorgeeinrichtung unterschiedlich zu qualifizieren sein soll, ist nicht einzusehen. Daran ändert auch nichts, dass der obsiegende Sozialversicherungsträger grundsätzlich keinen Anspruch auf Parteientschädigung hat, steht diese Regelung doch in engem Zusammenhang mit der grundsätzlichen Kostenfreiheit des Verfahrens ( Art. 73 Abs. 2 BVG ; BGE 126 V 143 E. 4b S. 150 f.). Weiter steht fest, dass die Vorsorgeeinrichtung im vorinstanzlichen Verfahren durch eine Anwältin vertreten war, weshalb der Anspruch auf Parteientschädigung ohne weiteres zu bejahen ist ( BGE 127 V 205 ). Ob - aufgrund des unbestrittenen Sachverhaltes und der einfachen Rechtslage - eine qualifizierte Verbeiständung geboten war, ist dabei nicht ausschlaggebend; der allenfalls geringe Aufwand ist bei der Festsetzung der Höhe der Parteientschädigung angemessen zu berücksichtigen.</w:t>
      </w:r>
    </w:p>
    <w:p>
      <w:r>
        <w:rPr>
          <w:b/>
        </w:rPr>
        <w:t>E. 3.3</w:t>
      </w:r>
    </w:p>
    <w:p>
      <w:r>
        <w:t>Die Rechtsvertreterin der Beschwerdeführerin hat ihre Kostennote im vorinstanzlichen Verfahren eingereicht. Das kantonale Gericht hat sich in seiner Stellungnahme insofern zu deren Höhe geäussert, als es dadurch einen relativ geringen Aufwand für die Klage als belegt erachtete. Dem ist beizupflichten, weshalb sich die Parteientschädigung für das vorinstanzliche Verfahren durch das Bundesgericht ( Art. 68 Abs. 5 BGG ) auf die beantragten Fr. 963.45 festsetzen lässt.</w:t>
      </w:r>
    </w:p>
    <w:p>
      <w:r>
        <w:rPr>
          <w:b/>
        </w:rPr>
        <w:t>E. 4</w:t>
      </w:r>
    </w:p>
    <w:p>
      <w:r>
        <w:t>Bei diesem Ausgang des Verfahrens wird die Beschwerdegegnerin kostenpflichtig ( Art. 66 Abs. 1 BGG ). Eine Parteientschädigung ist der obsiegenden Beschwerdeführerin nicht zuzusprechen ( Art. 68 Abs. 3 BGG ): Die Gründe, die zum letztinstanzlichen Verfahren geführt haben (E. 3.2), sind nicht auf das Verhalten der Beschwerdegegnerin zurückzuführen, so dass für das vorliegende Verfahren mutwillige oder leichtsinnige Prozessführung nicht gegeben ist ( BGE 118 V 169 E. 7, 117 V 349 E. 8 mit Hinweis; Urteil B 21/00 vom 24. Mai 2000 E. 5). Ebenso stellt der zu korrigierende Entscheid der Vorinstanz keine qualifizierte Verletzung der Rechte der Beschwerdeführerin dar (vgl. Art. 68 Abs. 4 in Verbindung mit Art. 66 Abs. 3 BGG ; GEISER, in: Basler Kommentar zum Bundesgerichtsgesetz, 2008, N. 25 zu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