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375/2008 vom 30. Oktober 2008</w:t>
      </w:r>
    </w:p>
    <w:p>
      <w:r>
        <w:t>Bundesgericht, 2008-10-30, DE</w:t>
      </w:r>
    </w:p>
    <w:p>
      <w:r>
        <w:rPr>
          <w:b/>
        </w:rPr>
        <w:t xml:space="preserve">Quelle: </w:t>
      </w:r>
      <w:r>
        <w:t>https://mcp.opencaselaw.ch/entscheid/bger_9C_375_2008</w:t>
      </w:r>
    </w:p>
    <w:p>
      <w:r>
        <w:t>FR: TF 9C 375/2008 du 30 octobre 2008</w:t>
      </w:r>
    </w:p>
    <w:p>
      <w:r>
        <w:t>IT: TF 9C 375/2008 del 30 ottobre 2008</w:t>
      </w:r>
    </w:p>
    <w:p>
      <w:pPr>
        <w:pStyle w:val="Heading2"/>
      </w:pPr>
      <w:r>
        <w:t>Regeste</w:t>
      </w:r>
    </w:p>
    <w:p>
      <w:r>
        <w:t>Invalidenversicherung | Invalidenversicherung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 selbstständig eröffneten - Vor- oder Zwischenentscheid im Sinne von Art. 92 und 93 BGG ( BGE 133 V 477 E. 4.2 S. 481 f. mit Hinweisen). Ein solcher Rückweisungsentscheid bewirkt rechtsprechungsgemäss in der Regel keinen irreversiblen Nachteil im Sinne von Art. 93 Abs. 1 lit. a BGG . Wird hingegen gegen einen solchen Vor- und Zwischenentscheid Beschwerde geführt mit der Rüge, das Gericht habe nicht in verfassungsmässiger Besetzung entschieden, ist auf die Beschwerde einzutreten. Zum einen ergibt sich dies daraus, dass gegen selbstständig eröffnete Vor- und Zwischenentscheide über Ausstandsbegehren die Beschwerde zulässig ist ( Art. 92 Abs. 1 BGG ). Anderseits sind die Ablehnungs- und Ausstandsgründe so früh wie möglich geltend zu machen, ansonsten der Anspruch auf spätere Anrufung der vermeintlich verletzten Ausstandsbestimmungen verwirkt ist ( BGE 132 II 485 E. 4.3 S. 496 mit Hinweisen; vgl. auch Art. 92 Abs. 2 BGG ). Auf die Beschwerde ist daher einzutreten.</w:t>
      </w:r>
    </w:p>
    <w:p>
      <w:r>
        <w:rPr>
          <w:b/>
        </w:rPr>
        <w:t>E. 2.1</w:t>
      </w:r>
    </w:p>
    <w:p>
      <w:r>
        <w:t>Die Verletzung von Grundrechten (einschliesslich der willkürlichen Anwendung von kantonalem Recht und Willkür bei der Sachverhaltsfeststellung, BGE 133 II 249 E. 1.4.3 S. 255) prüft das Bundesgericht nicht von Amtes wegen, sondern nur insoweit, als eine solche Rüge in der Beschwerde vorgebracht und begründet worden ist ( Art. 106 Abs. 2 BGG ; BGE 133 II 249 E. 1.4.2 S. 254 mit Hinweisen).</w:t>
      </w:r>
    </w:p>
    <w:p>
      <w:r>
        <w:rPr>
          <w:b/>
        </w:rPr>
        <w:t>E. 2.2</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Garantien der Art. 30 Abs. 1 BV und Art. 6 Ziff. 1 EMRK vereinbar ist.</w:t>
      </w:r>
    </w:p>
    <w:p>
      <w:r>
        <w:rPr>
          <w:b/>
        </w:rPr>
        <w:t>E. 3.1</w:t>
      </w:r>
    </w:p>
    <w:p>
      <w:r>
        <w:t>Nach Art. 30 Abs. 1 BV und Art. 6 Ziff. 1 EMRK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 BGE 114 Ia 50 E. 3b und 3c S. 53 ff., 134 I 20 E. 4.2 S. 21, 131 I 24 E. 1.1 S. 25, 131 I 113 E. 3.4 S. 116, mit Hinweisen). Nach der Rechtsprechung sind die Garantien von Art. 30 Abs. 1 BV und Art. 6 Ziff. 1 EMRK auch auf die Gerichtsschreiberinnen und Gerichtsschreiber einer richterlichen Behörde anwendbar, sofern sie - wie dies für den Kanton St. Gallen zutrifft (Art. 67 Abs. 1 lit. b des Gerichtsgesetzes des Kantons St. Gallen vom 2. April 1987; sGS 941.1) - an der Willensbildung des Spruchkörpers mitwirken. Dies ist der Fall, wenn sie im Hinblick auf ihre Redaktionstätigkeit an der Beratung teilnehmen und ihre Auffassung äussern können, weil sie so, auch wenn sie nicht stimmberechtigt sind, unter Umständen auf den Entscheid des Gerichts Einfluss nehmen können ( BGE 124 I 255 , 119 V 309 E. 4c S. 317, 119 Ia 84, 115 Ia 224 E. 7 mit Hinweisen S. 227; SVR 2001 UV Nr. 11 S. 41).</w:t>
      </w:r>
    </w:p>
    <w:p>
      <w:r>
        <w:rPr>
          <w:b/>
        </w:rPr>
        <w:t>E. 3.2</w:t>
      </w:r>
    </w:p>
    <w:p>
      <w:r>
        <w:t>Eine Befangenheit liegt vor, wenn Umstände dargetan sind, die bei objektiver Betrachtung geeignet erscheinen, Misstrauen in die Unparteilichkeit eines Richters zu erwecken ( BGE 133 I 1 E. 5.2 und 6.2, 131 I 113 E. 3.4 S. 116, 24 E. 1.1 S. 25). Solche Hinweise können in einem bestimmten Verhalten oder in gewissen äusseren Gegebenheiten funktioneller und organisatorischen Natur begründet liegen. Nicht entscheidend ist das subjektive Empfinden der Parteien ( BGE 131 I 24 E. 1.1 S. 25, mit Hinweisen); das Misstrauen in die Unbefangenheit muss in objektiver Weise gerechtfertigt erscheinen. Der Richter hat nicht tatsächlich befangen zu sein; es genügt, wenn hinreichende Anhaltspunkte hierfür sprechen ( BGE 128 V 82 E. 2a ; 124 I 121 E. 3a, je mit weiteren Hinweisen).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(vgl. BGE 114 Ia 50 E.3b S. 55); von der regelhaften Zuständigkeitsordnung darf nicht leichthin abgewichen werden (Urteil 1P.711/2004 vom 17. März 2005, E. 3.1, publ. in: ZBl 107/2006 S. 393 ff.; Urteil 2C_171/2007 vom 19. Oktober 2007, E. 5.1).</w:t>
      </w:r>
    </w:p>
    <w:p>
      <w:r>
        <w:rPr>
          <w:b/>
        </w:rPr>
        <w:t>E. 3.3</w:t>
      </w:r>
    </w:p>
    <w:p>
      <w:r>
        <w:t>Die gleichzeitige Ausübung einer teilamtlichen Richter- und einer Anwaltstätigkeit ist mit Blick auf die Garantie der richterlichen Unabhängigkeit und Unparteilichkeit nicht an sich problematisch; es darf praxisgemäss davon ausgegangen werden, dass ein Richter im Teilamt regelmässig zwischen seiner amtlichen Funktion und seiner privaten beruflichen Tätigkeit zu unterscheiden vermag ( BGE 133 I 1 E. 6.4.2 ; 124 I 121 E. 3b S. 124). Ob die richterliche Unabhängigkeit und Unparteilichkeit beeinträchtigt erscheint, ist indessen jeweils zusätzlich aufgrund der Umstände des Einzelfalles zu prüfen: So hat das Bundesgericht erkannt, dass ein Anwalt nicht als nebenamtlicher Richter in einem Fall tätig sein darf, wenn er zu einer Partei in einem noch offenen Mandatsverhältnis steht oder aufgrund mehrfacher Mandate eine Art Dauerbeziehung zu dieser pflegt ( BGE 116 Ia 485 E. 3b S. 489). Ebenso hat es das Bundesgericht als unzulässig bezeichnet, dass ein Anwalt als Richter in einer Sache tätig wird, die für ein gleichgelagertes Verfahren, in dem er eine Partei vertritt, eine erhebliche präjudizielle Bedeutung haben kann (vgl. BGE 124 I 121 E. 3; 128 V 82 E. 2). Ein einzelnes abgeschlossenes Mandat schliesst eine nebenamtliche Richtertätigkeit hingegen nicht aus ( BGE 116 Ia 485 E. 3b S. 489). Auch darf ein früher für eine Mietervereinigung tätiger Anwalt in einem Mietgericht als Richter in Fällen mitwirken, in denen die Mietervereinigung, für die er tätig war, eine der Parteien vertritt (vgl. BGE 124 I 121 E. 3a in fine).</w:t>
      </w:r>
    </w:p>
    <w:p>
      <w:r>
        <w:rPr>
          <w:b/>
        </w:rPr>
        <w:t>E. 4.1</w:t>
      </w:r>
    </w:p>
    <w:p>
      <w:r>
        <w:t>Die Beschwerde führende IV-Stelle erachtet den am vorinstanzlichen Entscheid mitwirkenden Gerichtsschreiber X.________ als befangen. Er sei bis vor kurzem als selbstständiger Anwalt tätig gewesen und habe unter anderem davon gelebt, gegen die IV zu prozessieren. Im 1. Quartal dieses Jahres, vermutlich per 1. März 2008, habe er die Stelle bei der Vorinstanz angetreten. Es lägen gegenwärtig drei von X.________ verfasste IV-Urteile in Rentensachen vor, die mit vergleichbarer Begründung die Verfügungen der IV-Stelle aufheben würden, und die den Anschein der Befangenheit erwecken würden. X.________ sei in IV-Sachen befangen, dies insbesondere dann, wenn es um die Würdigung von Gutachten des Instituts Z.________ gehe. Seit Herbst 2006 würde das Institut Z.________ in den Medien, namentlich im Kassensturz, bekanntlich unter heftigen Beschuss genommen. Immer wieder hätten Versichertenvertreter die in der Öffentlichkeit kolportierten Bemängelungen aufgegriffen, um "ungünstige" Abklärungsergebnisse in Frage zu stellen. Obwohl das kantonale Gericht die Beweiskraft der Gutachten des Instituts Z.________ bejaht habe, habe X.________ in seinen Rechtsschriften bis zuletzt auf seiner Auffassung insistiert, nach der die genannten Gutachten grundsätzlich nicht zum Beweis zuzulassen seien. In den drei ans Bundesgericht weitergezogenen Entscheide, in denen X.________ als Gerichtsschreiber geamtet habe, springe ins Auge, dass in allen drei Fällen dem Gutachten des Instituts Z.________ die Beweiskraft abgesprochen worden sei und die Sache zur ergänzenden Abklärung an die IV-Stelle zurückgewiesen worden sei. Dabei sei zwar nicht der Standpunkt vertreten worden, die Gutachten seien grundsätzlich nicht zu verwerten. Aber die Gutachten würden mit auffallender Strenge geprüft, und es sei mit einseitigen Begründungen ein klares Beweisergebnis umgestossen worden. Es sei offensichtlich, dass die Gutachten des Instituts Z.________ unter der Federführung von X.________ zwar mit anderer Begründung, aber doch grundsätzlich nicht mehr zum Beweis zugelassen werden sollen. Zusammenfassend zeige es sich, dass X.________ auf Grund seiner bis unmittelbar vor Stellenantritt bei der Vorinstanz innegehabten Stellung und der dabei vertretenen Auffassungen, aber auch auf Grund der in der Entscheidbegründung vertretenen Argumentation den Anschein der Befangenheit erwecke. Damit sei erstellt, dass die Vorinstanz Bundesrecht ( Art. 30 BV ) nach Art. 95 lit. a BGG verletzt habe.</w:t>
      </w:r>
    </w:p>
    <w:p>
      <w:r>
        <w:rPr>
          <w:b/>
        </w:rPr>
        <w:t>E. 4.2</w:t>
      </w:r>
    </w:p>
    <w:p>
      <w:r>
        <w:t>Das kantonale Gericht bringt in tatsächlicher Hinsicht vor, X.________ sei nie als selbstständiger Anwalt tätig gewesen, sondern während rund 1 1/3 Jahren (vom November 2006 bis Ende März 2008) bei einer Rechtsanwaltskanzlei in Y.________ angestellt gewesen. Seit 1. März 2008 sei er zunächst zu 50 % und seit 1. April 2008 zu 80 % beim Versicherungsgericht als Gerichtsschreiber beschäftigt. Daneben arbeite er an seiner Dissertation im Bereich der Unfallversicherung. Er sei somit seit 1. April 2008 nicht mehr als Anwalt tätig, weder in selbstständiger noch in angestellter Funktion. Es verhalte sich hier nicht anders, als bei einem weiteren Gerichtsschreiber, der vor seiner Tätigkeit beim Versicherungsgericht mehrere Jahre im Rechtsdienst bei der Beschwerde führenden IV-Stelle angestellt gewesen sei. Im Übrigen sei X.________ als angestellter Anwalt in einem breiten Spektrum der unterschiedlichsten Rechtsgebiete tätig gewesen. Insbesondere habe er auch regelmässig die Interessen von Sozial- und Privatversicherern vertreten.</w:t>
      </w:r>
    </w:p>
    <w:p>
      <w:r>
        <w:rPr>
          <w:b/>
        </w:rPr>
        <w:t>E. 4.3</w:t>
      </w:r>
    </w:p>
    <w:p>
      <w:r>
        <w:t>Aus diesen tatsächlichen Ausführungen des kantonalen Gerichts in der Vernehmlassung, auf welche abzustellen ist, geht hervor, dass X.________ nur kurze Zeit als Rechtsanwalt im Angestelltenverhältnis tätig war und diese Tätigkeit seit der Aufnahme der Arbeit als Gerichtsschreiber bei der Vorinstanz nicht mehr versieht. Namentlich bestehen keine Anhaltspunkte, dass er nach wie vor laufende Mandate, insbesondere gegen die Invalidenversicherung führt. Dass ein Rechtsanwalt zuweilen pointiert die Interessen seiner Klientschaft vertreten hatte, lässt ihn in einer späteren Tätigkeit am Gericht nicht als befangen erscheinen. Im vorliegenden Fall kommt hinzu, dass die Anwaltstätigkeit lediglich knapp 1 1/3 Jahre gedauert hat. Damit ist objektiv kein Anschein der Befangenheit ersichtlich. Eine solche Befangenheit ergibt sich auch nicht aus der Begründung des angefochtenen Entscheides und der beiden andern angeführten vorinstanzlichen Entscheide. Das kantonale Gericht begründet einlässlich und in objektiver Weise, weshalb auf das Gutachten des Instituts Z.________ vom 6. Juni 2006 nicht abgestellt werden kann. Eine Befangenheit oder Voreingenommenheit des Gerichtsschreibers ist daher zu verneinen.</w:t>
      </w:r>
    </w:p>
    <w:p>
      <w:r>
        <w:rPr>
          <w:b/>
        </w:rPr>
        <w:t>E. 5</w:t>
      </w:r>
    </w:p>
    <w:p>
      <w:r>
        <w:t>Als unterliegende Partei hat die IV-Stelle die Gerichtskosten zu tragen ( Art. 66 Abs. 1 BGG ) und überdies den Beschwerdegegner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