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373/2009 vom 2. November 2009</w:t>
      </w:r>
    </w:p>
    <w:p>
      <w:r>
        <w:t>Bundesgericht, 2009-11-02, DE</w:t>
      </w:r>
    </w:p>
    <w:p>
      <w:r>
        <w:rPr>
          <w:b/>
        </w:rPr>
        <w:t xml:space="preserve">Quelle: </w:t>
      </w:r>
      <w:r>
        <w:t>https://mcp.opencaselaw.ch/entscheid/bger_9C_373_2009</w:t>
      </w:r>
    </w:p>
    <w:p>
      <w:r>
        <w:t>FR: TF 9C 373/2009 du 2 novembre 2009</w:t>
      </w:r>
    </w:p>
    <w:p>
      <w:r>
        <w:t>IT: TF 9C 373/2009 del 2 novembre 2009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Vorinstanz ermittelte im Rahmen eines Einkommensvergleichs nach Vornahme eines leidensbedingten Abzuges von 10 % vom Invalideneinkommen gemäss Tabellenlohn einen Invaliditätsgrad von 20 oder 22 % und verneinte demgemäss den Anspruch auf eine Invalidenrente. Mit Bezug auf berufliche Eingliederungsmassnahmen gelangte das Versicherungsgericht zum Schluss, der Beschwerdeführer sei subjektiv eingliederungsunfähig; dies ergebe sich namentlich aus dem Gutachten der Klinik Y.________.</w:t>
      </w:r>
    </w:p>
    <w:p>
      <w:r>
        <w:rPr>
          <w:b/>
        </w:rPr>
        <w:t>E. 2.2</w:t>
      </w:r>
    </w:p>
    <w:p>
      <w:r>
        <w:t>Der Beschwerdeführer bestreitet das Fehlen der Eingliederungswilligkeit und wirft der IV-Stelle vor, während Jahren von Eingliederungsmassnahmen abgesehen zu haben, obwohl die Voraussetzungen gegeben gewesen wären. Das Zuwarten habe zu einer Chronifizierung und einer gewissen Resignation geführt, worauf ihm nunmehr seitens der Invalidenversicherung und der Vorinstanz mangelnde subjektive Eingliederungsbereitschaft unterstellt werde. Schliesslich macht der Versicherte geltend, dass ein Mahn- und Bedenkzeitverfahren durchgeführt werden müsse, bevor Eingliederungsmassnahmen abgelehnt würden.</w:t>
      </w:r>
    </w:p>
    <w:p>
      <w:r>
        <w:rPr>
          <w:b/>
        </w:rPr>
        <w:t>E. 3</w:t>
      </w:r>
    </w:p>
    <w:p>
      <w:r>
        <w:t>Für ihre Aussage, dem Beschwerdeführer fehle die subjektive Eingliederungsfähigkeit, stützt sich die Vorinstanz auf das Gutachten der Klinik Y.________ vom 20. November 2007 und den Abklärungsbericht des Regionalen Arbeitsvermittlungszentrums (RAV) vom 6. Juli 2007 über ein dreimonatiges Einsatzprogramm. Das RAV stellt wohl fest, der Einsatz des Beschwerdeführers lasse zu wünschen übrig; indessen wird ausdrücklich darauf hingewiesen, diese Beurteilung beziehe sich nicht auf die innere Einstellung des Versicherten, sondern sei der gegenwärtigen gesundheitlichen Verfassung zuzuschreiben. Bei den vom kantonalen Gericht erwähnten Aussagen im Gutachten der Klinik Y.________ wiederum handelt es sich um die Angaben des Beschwerdeführers, wogegen die Experten in ihrer Beurteilung und Prognose, auf welche in beweismässiger Hinsicht abzustellen ist, keine mangelnde Eingliederungsbereitschaft feststellen. Auch andere Arztberichte lassen sodann entgegen den vorinstanzlichen Ausführungen nicht auf mangelnden Eingliederungswillen des Beschwerdeführers schliessen. Soweit die Vorinstanz die subjektive Eingliederungsfähigkeit verneint hat, ist die Feststellung des rechtserheblichen Sachverhalts unvollständig. Da sowohl die Expertise der Klinik Y.________ vom 20. November 2007 wie auch der Abklärungsbericht des RAV vom 6. Juli 2007 nicht erkennen lassen, dass es dem Beschwerdeführer am Eingliederungswillen gebricht, ist der Sachverhalt insoweit zu berichtigen, als nicht von fehlender subjektiver Eingliederungsfähigkeit auszugehen ist. Dazu besteht im übrigen umso mehr Anlass, als auch die Berichte und Zeugnisse des Psychiaters Dr. med. A.________, der den Beschwerdeführer seit August 2006 behandelt, keine Hinweise auf fehlende Eingliederungswilligkeit enthalten, und ebenso im neuesten Bericht des Hausarztes Dr. med. B.________, vom 21. Februar 2008 keine Anhaltspunkte für eine solche Annahme zu finden sind.</w:t>
      </w:r>
    </w:p>
    <w:p>
      <w:r>
        <w:rPr>
          <w:b/>
        </w:rPr>
        <w:t>E. 4</w:t>
      </w:r>
    </w:p>
    <w:p>
      <w:r>
        <w:t>Gestützt auf einen rechtskonform durchgeführten Einkommensvergleich hat das Versicherungsgericht einen Invaliditätsgrad von rund 20 oder 22 % ermittelt, wovon auszugehen ist, zumal der Beschwerdeführer gegen die Invaliditätsbemessung keine Einwendungen erhebt. Da eine invaliditätsbedingte Erwerbseinbusse von etwa 20 % rechtsprechungsgemäss Anspruch auf Umschulung verleiht ( BGE 124 V 108 E. 2b S. 110; SVR 2006 IV Nr. 15 S. 53, I 18/05), wenn die weiteren Erfordernisse erfüllt sind, hat der Versicherte Anspruch auf diese und auch die weiteren (beruflichen) Massnahmen nach Art. 14a, 15 und 18 IVG , welche keinen Mindestinvaliditätsgrad verlangen, soweit die übrigen gesetzlichen Voraussetzungen gegeben sind.</w:t>
      </w:r>
    </w:p>
    <w:p>
      <w:r>
        <w:rPr>
          <w:b/>
        </w:rPr>
        <w:t>E. 5</w:t>
      </w:r>
    </w:p>
    <w:p>
      <w:r>
        <w:t>Dem Verfahrensausgang entsprechend sind die Gerichtskosten der unterliegenden IV-Stelle aufzuerlegen ( Art. 66 Abs.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