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372/2022 vom 22. August 2023</w:t>
      </w:r>
    </w:p>
    <w:p>
      <w:r>
        <w:t>Bundesgericht, 2023-08-22, DE</w:t>
      </w:r>
    </w:p>
    <w:p>
      <w:r>
        <w:rPr>
          <w:b/>
        </w:rPr>
        <w:t xml:space="preserve">Quelle: </w:t>
      </w:r>
      <w:r>
        <w:t>https://mcp.opencaselaw.ch/entscheid/bger_9C_372_2022</w:t>
      </w:r>
    </w:p>
    <w:p>
      <w:r>
        <w:t>FR: TF 9C 372/2022 du 22 août 2023</w:t>
      </w:r>
    </w:p>
    <w:p>
      <w:r>
        <w:t>IT: TF 9C 372/2022 del 22 agosto 2023</w:t>
      </w:r>
    </w:p>
    <w:p>
      <w:pPr>
        <w:pStyle w:val="Heading2"/>
      </w:pPr>
      <w:r>
        <w:t>Regeste</w:t>
      </w:r>
    </w:p>
    <w:p>
      <w:r>
        <w:t>Berufliche Vorsorge | Berufliche Vorsorge</w:t>
      </w:r>
    </w:p>
    <w:p>
      <w:pPr>
        <w:pStyle w:val="Heading2"/>
      </w:pPr>
      <w:r>
        <w:t>Erwägungen</w:t>
      </w:r>
    </w:p>
    <w:p>
      <w:r>
        <w:rPr>
          <w:b/>
        </w:rPr>
        <w:t>E. 1</w:t>
      </w:r>
    </w:p>
    <w:p>
      <w:r>
        <w:t>Auf die - entgegen der Ansicht der Beschwerdegegnerin - ausreichend begründete Beschwerde ( Art. 42 BGG ) ist einzutreten. Die Urkunden, auf welche sich die Beschwerdeführerin beruft, sind in der Beschwerdeschrift genau bezeichnet und befinden sich in den von der Vorinstanz beigezogenen und an das Bundesgericht übermittelten IV-Akten. Das genügt vorliegend (vgl. auch Urteil 8C_180/2017 vom 21. Juni 2017 E. 1.2).</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Streitig und zu prüfen ist, ob Bundesrecht verletzt wurde, indem das kantonale Gericht den Anspruch der Beschwerdeführerin auf eine Invalidenrente der beruflichen Vorsorge für den Zeitraum ab 1. Januar 2018 verneint und sie zur Rückerstattung von Rentenbetreffnissen in der Höhe von Fr. 25'256.80 für den Zeitraum vom 1. Januar 2018 bis 28. Februar 2021 verpflichtet hat.</w:t>
      </w:r>
    </w:p>
    <w:p>
      <w:r>
        <w:rPr>
          <w:b/>
        </w:rPr>
        <w:t>E. 3.2.1</w:t>
      </w:r>
    </w:p>
    <w:p>
      <w:r>
        <w:t>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 BGE 143 V 434 E. 2.2; 133 V 67 E. 4.3.2; 130 V 270 E. 3.1). Diese Bindungswirkung findet gemäss Rechtsprechung ihre positivrechtliche Grundlage in den Art. 23, Art. 24 Abs. 1 und Art. 26 Abs. 1 BVG , welche an die Regelung des IVG anknüpfen oder diese übernehmen. Die Orientierung an der Invalidenversicherung bezieht sich insbesondere auf die sachbezüglichen Voraussetzungen des Rentenanspruchs, die Rentenhöhe und den Rentenbeginn ( BGE 133 V 67 E. 4.3.2). Wurde die Vorsorgeeinrichtung nicht in das Verfahren der Invalidenversicherung einbezogen und stellt sie dennoch auf die invalidenversicherungsrechtliche Betrachtungsweise ab, muss sich die versicherte Person diese (unter Vorbehalt der erwähnten offensichtlichen Unhaltbarkeit) entgegenhalten lassen ( BGE 130 V 270 E. 3.1 mit Hinweisen; SVR 2014 BVG Nr. 3 S. 8, 9C_944/2012 E. 1.2). Ob eine allfällige Unrichtigkeit offensichtlich ist, und demzufolge eine Bindungswirkung entfällt, ist eine vom Bundesgericht frei überprüfbare Rechtsfrage (Urteil 9C_583/2016 vom 19. Januar 2017 E. 3.2 mit Hinweis).</w:t>
      </w:r>
    </w:p>
    <w:p>
      <w:r>
        <w:rPr>
          <w:b/>
        </w:rPr>
        <w:t>E. 3.2.2</w:t>
      </w:r>
    </w:p>
    <w:p>
      <w:r>
        <w:t>Hinsichtlich der rechtlichen Grundlagen zum Rückforderungsanspruch bezüglich Leistungen aus beruflicher Vorsorge wird, soweit strittig, auf die Erwägungen des angefochtenen Urteils verwiesen.</w:t>
      </w:r>
    </w:p>
    <w:p>
      <w:r>
        <w:rPr>
          <w:b/>
        </w:rPr>
        <w:t>E. 4</w:t>
      </w:r>
    </w:p>
    <w:p>
      <w:r>
        <w:t>Das kantonale Gericht hat erwogen, die Pensionskasse habe in Kopie die Verfügungen der IV-Stelle Luzern vom 13. Februar 2018 sowie 12. Dezember 2019 erhalten. Im Beschwerdeverfahren vor dem Kantonsgericht Luzern sei sie hingegen - soweit ersichtlich - nicht beteiligt gewesen. So oder anders habe sie sich aber in der Folge explizit auf das Urteil vom 8. August 2019 berufen. Demzufolge seien die darin enthaltenen Feststellungen grundsätzlich verbindlich, soweit sie nicht schlechterdings unhaltbar seien. Verbindlich sei die Feststellung einer Arbeitsfähigkeit von 50 % eines Vollpensums in der angestammten Tätigkeit ab 1. Juni 2016. Inwiefern diese Feststellung des Kantonsgerichts Luzern schlechterdings unhaltbar gewesen sein sollte, lege die Beschwerdeführerin weder dar, noch gehe es aus den beigezogenen Akten der IV hervor. Sie basiere vielmehr auf einer eingehenden Würdigung der medizinischen Akten durch das im invalidenversicherungsrechtlichen Verfahren zuständige Sozialversicherungsgericht, dessen Urteil unangefochten in Rechtskraft erwachsen sei. Darauf im vorliegenden Verfahren zurückzukommen, bestehe kein Anlass. Insbesondere sei es zumindest nicht unhaltbar, dass das Kantonsgericht Luzern mit Blick auf das Alter der Versicherten keine Feststellungen getroffen habe bezüglich allenfalls höhergradiger Arbeitsfähigkeiten in besser leidensangepassten Tätigkeiten. Abweichend von dem im IV-Verfahren mittels gemischter Methode ermittelten Invaliditätsgrad hat die Vorinstanz ab 1. Juni 2016 einen Invaliditätsgrad von 37.5 % berechnet ([1-50 %/80 %] x 100) und gestützt hierauf den Anspruch auf eine Invalidenrente aus beruflicher Vorsorge ab 1. Januar 2018 verneint. Sie hat dargelegt, die Berufung auf den Schutz des berechtigten Vertrauens in eine falsche behördliche Auskunft (seitens der Pensionskasse) verfange mangels Vertrauensgrundlage nicht. Die Klage sei als unbegründet abzuweisen. Die Vorinstanz hat sodann betreffend den mit Widerklage der Beschwerdegegnerin geltend gemachten Rückforderungsanspruch erwogen, gemäss dem anwendbaren Art. 35a BVG seien unrechtmässig bezogene Leistungen der beruflichen Vorsorge zurückzuerstatten. Von der Rückforderung könne abgesehen werden, wenn der Leistungsempfänger oder die Leistungsempfängerin gutgläubig gewesen sei und die Rückforderung zu einer grossen Härte führe (Abs. 1). Im zu beurteilenden Fall stehe fest, dass der Leistungsbezug unrechtmässig erfolgt sei, da für die Ausrichtung einer Viertelsrente keine gesetzliche oder reglementarische Grundlage bestanden habe, worüber sich die Beschwerdegegnerin offenbar im Rechtsirrtum befunden habe. Die Beschwerdeführerin könne (jedoch) nur rückerstattungspflichtig werden für Betreffnisse, die sie auch tatsächlich erhalten habe, d.h. hier konkret für den Betrag von Fr. 25'256.80. Unter Offenlassung der Voraussetzung des guten Glaubens hat das kantonale Gericht die grosse Härte verneint und die Beschwerdeführerin als Folge davon gegenüber der Beschwerdegegnerin zur Rückerstattung von Fr. 25'256.80 an erhaltenen Rentenbetreffnissen für den Zeitraum zwischen dem 1. Januar 2018 und dem 28. Februar 2021 verpflichtet.</w:t>
      </w:r>
    </w:p>
    <w:p>
      <w:r>
        <w:rPr>
          <w:b/>
        </w:rPr>
        <w:t>E. 5.1.1</w:t>
      </w:r>
    </w:p>
    <w:p>
      <w:r>
        <w:t>Die Beschwerdeführerin macht geltend, dem (invalidenversicherungsrechtlichen) Urteil vom 8. August 2019 sei eine Bindungswirkung zugesprochen worden, obwohl dieses offensichtlich unhaltbar sei. Damit verstosse das angefochtene Urteil gegen die bundesgerichtliche Rechtsprechung zur Bindungswirkung. Entgegen der Ansicht der Beschwerdegegnerin ist das Vorbringen der Beschwerdeführerin, das Urteil vom 8. August 2019 sei offensichtlich unhaltbar, weshalb die Bindungswirkung entfalle, im Lichte von Art. 99 Abs. 1 BGG zulässig. Hierbei handelt es sich um eine neue rechtliche Begründung. Die zur Substanziierung der Begründung angerufenen Beweismittel (Arztberichte) befinden sich in den von der Vorinstanz beigezogenen und dem Bundesgericht übermittelten IV-Akten.</w:t>
      </w:r>
    </w:p>
    <w:p>
      <w:r>
        <w:rPr>
          <w:b/>
        </w:rPr>
        <w:t>E. 5.1.2</w:t>
      </w:r>
    </w:p>
    <w:p>
      <w:r>
        <w:t>Soweit die Beschwerdeführerin auf die von der Vorinstanz unterlassene eigenständige rechtliche Prüfung des Wegfalls der Bindungswirkung verweist, ist darauf hinzuweisen, dass das kantonale Gericht eine solche - wenn auch knapp - vorgenommen hat (vorinstanzliche Erwägung 3.2 S. 5).</w:t>
      </w:r>
    </w:p>
    <w:p>
      <w:r>
        <w:rPr>
          <w:b/>
        </w:rPr>
        <w:t>E. 5.1.3</w:t>
      </w:r>
    </w:p>
    <w:p>
      <w:r>
        <w:t>Die Beschwerdeführerin beruft sich auf die offensichtliche Unhaltbarkeit der mit Urteil des Kantonsgerichts Luzern vom 8. August 2019 im IV-Verfahren festgestellten Arbeitsfähigkeit. Sie macht geltend, die behandelnden Ärzte der Klinik C.________ hätten allesamt wiederholt dargelegt, dass sie maximal vier Stunden an vier Tagen pro Woche arbeiten könne. Somit betrage ihre Arbeitsfähigkeit 40 % und nicht etwa 50 % - vier Stunden an fünf Tagen -, wie das Kantonsgericht Luzern annehme. Eine eingehende Würdigung der medizinischen Akten habe durch das IV-Gericht nicht stattgefunden.</w:t>
      </w:r>
    </w:p>
    <w:p>
      <w:r>
        <w:rPr>
          <w:b/>
        </w:rPr>
        <w:t>E. 5.1.3.1</w:t>
      </w:r>
    </w:p>
    <w:p>
      <w:r>
        <w:t>Die Vorbringen der Beschwerdeführerin sind nicht stichhaltig. Das Kantonsgericht Luzern hat sich im IV-Verfahren eingehend mit der medizinischen Aktenlage auseinandergesetzt und insbesondere auch dargelegt, weshalb von einer 50 %igen Arbeitsfähigkeit auszugehen sei. So erwog es, die behandelnden Ärzte hätten nicht begründet, weshalb der Beschwerdeführerin lediglich von Montag bis Donnerstag und nicht auch am Freitag eine Tagesbelastung von vier Stunden zumutbar gewesen sein sollte. Hinweise dafür, dass die Versicherte zwingend nur an vier Tagen (beispielsweise mit einem Unterbruch Mitte Woche) eine Arbeitsleistung habe erbringen können, hätten sich in der Berichterstattung der Klinik C.________ nicht gefunden. Dieser Umstand lege den Schluss nahe, dass die behandelnde Ärzteschaft das aktenkundige subjektive Bedürfnis der Beschwerdeführerin, am Freitag nicht auswärts zu arbeiten, in die Beurteilung der Arbeitsfähigkeit einbezogen hätte. Dass diese Feststellungen offensichtlich unrichtig sind oder auf einer willkürlichen Beweiswürdigung beruhen (vgl. BGE 142 II 433 E. 4.4), vermag die Beschwerdeführerin mit ihren Vorbringen nicht aufzuzeigen. Insbesondere bestreitet sie nicht, dass ihr Entschluss, freitags nicht zu arbeiten, aus freien Stücken erfolgte. Im Gegenteil wird beschwerdeweise doch ausgeführt, dass der Freitag "seit geraumer Zeit gar nicht mehr zum erwerblichen Bereich im Leben der Beschwerdeführerin gezählt hat". Vor diesem Hintergrund ist es jedenfalls nicht offensichtlich unhaltbar, wenn das Kantonsgericht Luzern zum Ergebnis gelangte, es seien keine medizinischen Gründe ersichtlich, weshalb der Versicherten die jeweils attestierte Tagesbelastung nicht an fünf statt nur an vier Wochentagen zumutbar gewesen wäre, und in der Folge von einer 50 %igen Arbeitsfähigkeit ausging.</w:t>
      </w:r>
    </w:p>
    <w:p>
      <w:r>
        <w:rPr>
          <w:b/>
        </w:rPr>
        <w:t>E. 5.1.3.2</w:t>
      </w:r>
    </w:p>
    <w:p>
      <w:r>
        <w:t>Nach dem Gesagten verletzte die Vorinstanz kein Bundesrecht, als sie eine Bindung an das Urteil des Kantonsgerichts Luzern vom 8. August 2019 bejahte. Damit braucht auf die weiteren Vorbringen in der Beschwerde, welche sich gegen die Annahme einer 50 %igen Arbeitsfähigkeit durch die Vorinstanz richten, nicht näher eingegangen zu werden.</w:t>
      </w:r>
    </w:p>
    <w:p>
      <w:r>
        <w:rPr>
          <w:b/>
        </w:rPr>
        <w:t>E. 5.1.4</w:t>
      </w:r>
    </w:p>
    <w:p>
      <w:r>
        <w:t>Darauf hinzuweisen bleibt, dass entgegen der Ansicht der Beschwerdeführerin nicht ersichtlich ist, inwiefern mit der Annahme einer auf Grundlage eines 100%igen Arbeitspensums 50%igen Arbeitsfähigkeit diese in einen Bereich des Lebens der Beschwerdeführerin ausgedehnt worden sein soll, der seit geraumer Zeit nicht mehr zum erwerblichen Bereich gehört habe. Davon wäre lediglich dann auszugehen, wenn eine Leistungsfähigkeit angenommen würde, die über dem im Gesundheitsfall ausgeübten Pensum liegt. Dies ist vorliegend jedoch nicht der Fall.</w:t>
      </w:r>
    </w:p>
    <w:p>
      <w:r>
        <w:rPr>
          <w:b/>
        </w:rPr>
        <w:t>E. 5.1.5</w:t>
      </w:r>
    </w:p>
    <w:p>
      <w:r>
        <w:t>Mangels rechtsgenügender Rüge ( Art. 106 Abs. 2 BGG ; BGE 147 I 73 E. 2.1 mit Hinweisen) nicht einzugehen ist auf die Frage nach der Tragweite der Rechtsweggarantie von Art. 29a BV und von Art. 110 BGG im Fall, dass die versicherte Person sich die invalidenversicherungsrechtliche Betrachtungsweise entgegenhalten lassen muss, wenn sich die Vorsorgeeinrichtung, welche am invalidenversicherungsrechtlichen Verfahren nicht beteiligt war, darauf beruft (vgl. E. 3.2.1).</w:t>
      </w:r>
    </w:p>
    <w:p>
      <w:r>
        <w:rPr>
          <w:b/>
        </w:rPr>
        <w:t>E. 5.2</w:t>
      </w:r>
    </w:p>
    <w:p>
      <w:r>
        <w:t>Die Beschwerdeführerin beruft sich schliesslich auf den Vertrauensschutz ( Art. 9 BV ; BGE 143 V 95 E. 3.6.2). Unabhängig davon, ob und gegebenenfalls inwieweit der öffentlich-rechtliche Vertrauensschutz vorliegend (zumindest analog) Anwendung findet (vgl. Urteile 9C_132/2019 vom 3. Juli 2019 E. 6.3, 9C_705/2017 vom 29. Oktober 2018 E. 4.2 f. mit Hinweisen), vermag die Beschwerdeführerin daraus nichts zu ihren Gunsten abzuleiten: Rechtsprechungsgemäss stellt der blosse Verbrauch von Geldmitteln in aller Regel keine relevante Disposition dar ( BGE 142 V 259 E. 3.2.2 mit Hinweisen). Die von der Beschwerdeführerin in die Haussanierung investierten Geldmittel sind daher nicht als Dispositionen zu qualifizieren, die eine Berufung auf den Vertrauensschutz rechtfertigen. Auch ist nicht ersichtlich, inwiefern im Umstand, dass die Beschwerdeführerin den Bezug ihrer Altersleistungen bei Kenntnis um den fehlenden Rentenanspruch anders geregelt hätte, eine nachteilige Disposition zu erblicken sein soll. Die Berufung auf den Vertrauensschutz zielt damit ins Leere, Weiterungen erübrigen sich.</w:t>
      </w:r>
    </w:p>
    <w:p>
      <w:r>
        <w:rPr>
          <w:b/>
        </w:rPr>
        <w:t>E. 5.3</w:t>
      </w:r>
    </w:p>
    <w:p>
      <w:r>
        <w:t>Zusammenfassend ist somit festzuhalten, dass die Vorinstanz kein Bundesrecht verletzt hat, indem sie den Anspruch der Beschwerdeführerin auf eine Invalidenrente aus beruflicher Vorsorge ab 1. Januar 2018 verneint und diese zur Rückerstattung der zu Unrecht bezogenen Rente an die Beschwerdegegnerin verpflichtet hat.</w:t>
      </w:r>
    </w:p>
    <w:p>
      <w:r>
        <w:rPr>
          <w:b/>
        </w:rPr>
        <w:t>E. 6</w:t>
      </w:r>
    </w:p>
    <w:p>
      <w:r>
        <w:t>Die Beschwerde ist abzuweisen und die Gerichtskosten sind der Beschwerdeführerin aufzuerlegen ( Art. 66 Abs. 1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