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9C_371/2008 vom 2. Februar 2009</w:t>
      </w:r>
    </w:p>
    <w:p>
      <w:r>
        <w:t>Bundesgericht, 2009-02-02, FR</w:t>
      </w:r>
    </w:p>
    <w:p>
      <w:r>
        <w:rPr>
          <w:b/>
        </w:rPr>
        <w:t xml:space="preserve">Quelle: </w:t>
      </w:r>
      <w:r>
        <w:t>https://mcp.opencaselaw.ch/entscheid/bger_9C_371_2008</w:t>
      </w:r>
    </w:p>
    <w:p>
      <w:r>
        <w:t>FR: TF 9C_371/2008 du 2 février 2009</w:t>
      </w:r>
    </w:p>
    <w:p>
      <w:r>
        <w:t>IT: TF 9C_371/2008 del 2 febbraio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cantonal des assurances sociales a retenu que les conditions de l' art. 53 al. 1 LPGA étaient réalisées et qu'il convenait de procéder à la révision de la décision du 28 octobre 2002. Il a constaté que l'office AI avait jadis nié le droit à des prestations de l'assurance-invalidité, au motif que l'assurée souffrait d'un trouble de la personnalité de type paranoïaque, dont l'origine remontait en règle générale à l'adolescence. L'office AI en avait déduit qu'elle présentait une invalidité totale depuis sa dix-huitième année, soit à une époque où elle ne comptait pas une année de cotisations. Dans le cadre de la présente procédure, les premiers juges ont considéré que les rapports et déclarations des docteurs M.________ et D.________ apportaient un éclairage nouveau sur la nature des troubles psychiques dont souffrait l'assurée et sur le début de son invalidité. En particulier, les explications données par le docteur D.________ faisaient apparaître de façon convaincante que, contrairement à ce que laissaient supposer les faits connus et retenus dans la procédure initiale, l'évolution des troubles psychiques de l'assurée, caractérisée notamment par l'apparition quasiment constante d'hallucinations et d'idées délirantes, avait permis au corps médical de se rendre compte a posteriori que l'invalidité de l'assurée n'était pas due à un trouble de la personnalité paranoïaque apparu lors de l'adolescence, mais bien à une schizophrénie paranoïde dont les premières manifestations étaient apparues en 2001, soit à l'âge adulte. Ce fait n'était pas connu en octobre 2002 et ne pouvait être connu ni de l'assurée, ni de l'administration, de sorte que l'office AI avait apprécié le début de l'invalidité dans l'ignorance de circonstances essentielles à ce sujet.</w:t>
      </w:r>
    </w:p>
    <w:p>
      <w:r>
        <w:rPr>
          <w:b/>
        </w:rPr>
        <w:t>E. 2.2</w:t>
      </w:r>
    </w:p>
    <w:p>
      <w:r>
        <w:t>A l'appui de son recours, l'office AI fait valoir que loin de mettre en évidence des éléments nouveaux au sens de la jurisprudence, les docteurs M.________ et D.________ n'ont fait que donner une appréciation différente du cas. Que le diagnostic de schizophrénie ait été posé par ces médecins en 2003 ne signifiait en rien que l'assurée ne présentait pas, auparavant déjà, des troubles psychiques l'empêchant d'exercer de manière durable une activité lucrative. Les docteurs M.________ et D.________ ont tout au plus démontré que l'état de santé de l'assurée s'était aggravé depuis 2003, sans exclure toutefois que les troubles psychiques constatés antérieurement par la doctoresse H.________ n'étaient pas déjà la cause d'une incapacité totale de travailler. S'ils fournissaient des indications quant à l'évolution dans le temps des troubles présentés par l'assurée, les renseignements fournis par les docteurs M.________ et D.________ n'étaient pas de nature à modifier l'état de fait qui était à la base de la décision initiale de l'office AI.</w:t>
      </w:r>
    </w:p>
    <w:p>
      <w:r>
        <w:rPr>
          <w:b/>
        </w:rPr>
        <w:t>E. 2.3</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 ATF 127 V 353 consid. 5b p. 358 et les références).</w:t>
      </w:r>
    </w:p>
    <w:p>
      <w:r>
        <w:rPr>
          <w:b/>
        </w:rPr>
        <w:t>E. 2.4</w:t>
      </w:r>
    </w:p>
    <w:p>
      <w:r>
        <w:t>Des faits retenus par la juridiction cantonale, il ressort que le raisonnement de la doctoresse H.________ repose sur la prémisse que l'assurée souffrait d'un trouble de la personnalité paranoïaque, dont l'origine remonte généralement, selon l'expérience médicale, au moment de l'adolescence. Il en a été déduit que le parcours scolaire et professionnel chaotique de l'assurée ne pouvait être que l'expression anamnestique de cette affection. Les considérations des docteurs M.________ et D.________, fondées sur une période d'observation plus étendue et, partant, plus propice pour permettre de poser un diagnostic sûr et précis, apportent un éclairage nouveau et consensuel sur la situation de l'assurée et permettent de remettre fondamentalement en cause l'hypothèse sur laquelle était fondée la décision initiale. En tant qu'il reposait sur des fondements médicaux sérieux et pertinents, il n'appartenait pas à l'administration de remettre en cause le nouveau diagnostic posé par le corps médical. Il s'agissait en outre clairement d'un fait nouveau faisant apparaître que la décision initiale comptait un défaut objectif pouvant justifier sa révision.</w:t>
      </w:r>
    </w:p>
    <w:p>
      <w:r>
        <w:rPr>
          <w:b/>
        </w:rPr>
        <w:t>E. 2.5</w:t>
      </w:r>
    </w:p>
    <w:p>
      <w:r>
        <w:t>Malgré la révision du diagnostic, l'office AI estime que rien ne permet de remettre en cause le fait que l'assurée souffre depuis son adolescence d'un trouble de la personnalité qui l'a toujours empêchée d'exercer de manière durable une activité lucrative. Cela étant, il convient de constater que le refus du droit aux prestations prononcé par l'office AI repose essentiellement, sinon exclusivement, sur le diagnostic de troubles de la personnalité et l'expérience médicale. Dans la mesure où le corps médical a retiré tout fondement au diagnostic posé initialement, l'office AI ne saurait encore se baser sur les conclusions formulées à l'époque par la doctoresse H.________ pour justifier son point de vue. En tant qu'il voit le parcours scolaire et professionnel chaotique de l'assurée comme étant le symptôme indubitable d'un trouble de la personnalité, il ne saurait non plus être suivi. Les raisons précises qui ont conduit à l'interruption de la scolarité et de l'apprentissage de l'assurée ne sont pas connues de manière précise et ne sauraient résulter nécessairement d'un éventuel trouble de la personnalité, tant il existe d'autres facteurs - notamment socio-culturels - qui peuvent entrer en ligne de compte. De même, rien au dossier ne permet d'étayer le fait que ce seraient les effets d'une atteinte à la santé psychique qui auraient systématiquement entraîné la fin des rapports de travail ou les difficultés à retrouver un emploi. Le parcours socio-professionnel de l'assurée durant les années 90 démontre au contraire qu'elle était en mesure d'exercer une activité lucrative, l'assurance-chômage l'ayant reconnue apte au placement durant cette période.</w:t>
      </w:r>
    </w:p>
    <w:p>
      <w:r>
        <w:rPr>
          <w:b/>
        </w:rPr>
        <w:t>E. 2.6</w:t>
      </w:r>
    </w:p>
    <w:p>
      <w:r>
        <w:t>Il s'ensuit que le Tribunal cantonal des assurances sociales n'a pas violé le droit fédéral en considérant que les conditions d'une révision procédurale étaient réalisées en l'espèce.</w:t>
      </w:r>
    </w:p>
    <w:p>
      <w:r>
        <w:rPr>
          <w:b/>
        </w:rPr>
        <w:t>E. 3</w:t>
      </w:r>
    </w:p>
    <w:p>
      <w:r>
        <w:t>Dans un second moyen, l'office recourant conteste la méthode d'évaluation du degré d'invalidité, faisant valoir qu'au regard des circonstances, c'est la méthode spécifique qui aurait dû s'appliquer en lieu et place de la méthode générale de comparaison des revenus. Cela étant, les motifs invoqués par l'office AI ne suffisent pas à remettre en cause l'appréciation de la situation à laquelle ont procédé les premiers juges. Le fait que l'assurée n'ait pas travaillé de manière constante durant les années 90 ne saurait signifier qu'elle entendait se contenter d'un statut de femme au foyer. La longue période de chômage démontre que cette situation n'était pas volontaire, mais qu'elle résultait bien plutôt des circonstances économiques. De plus, un examen attentif de la situation familiale (mari retraité et enfant adolescent) tend à établir qu'elle aurait très vraisemblablement exercé une activité lucrative à plein temps si elle avait été en bonne santé. Le grief de l'office recourant est par conséquent mal fondé.</w:t>
      </w:r>
    </w:p>
    <w:p>
      <w:r>
        <w:rPr>
          <w:b/>
        </w:rPr>
        <w:t>E. 4</w:t>
      </w:r>
    </w:p>
    <w:p>
      <w:r>
        <w:t>En tous points mal fondé, le recours doit être rejeté. L'office recourant, qui succombe, supportera les frais judiciaires afférents à la présente procédure (art. 66 al. 1, 1ère phrase, LTF). L'intimée a droit à une indemnité de dépens à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