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370/2016 vom 12. September 2016</w:t>
      </w:r>
    </w:p>
    <w:p>
      <w:r>
        <w:t>Bundesgericht, 2016-09-12, DE</w:t>
      </w:r>
    </w:p>
    <w:p>
      <w:r>
        <w:rPr>
          <w:b/>
        </w:rPr>
        <w:t xml:space="preserve">Quelle: </w:t>
      </w:r>
      <w:r>
        <w:t>https://mcp.opencaselaw.ch/entscheid/bger_9C_370_2016</w:t>
      </w:r>
    </w:p>
    <w:p>
      <w:r>
        <w:t>FR: TF 9C 370/2016 du 12 septembre 2016</w:t>
      </w:r>
    </w:p>
    <w:p>
      <w:r>
        <w:t>IT: TF 9C 370/2016 del 12 settembre 2016</w:t>
      </w:r>
    </w:p>
    <w:p>
      <w:pPr>
        <w:pStyle w:val="Heading2"/>
      </w:pPr>
      <w:r>
        <w:t>Regeste</w:t>
      </w:r>
    </w:p>
    <w:p>
      <w:r>
        <w:t>Berufliche Vorsorge (Invalidenleistung)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Unter den zweiten Tatbestand fallen u.a. die unvollständige Feststellung rechtserheblicher Tatsachen sowie die Missachtung des Untersuchungsgrundsatzes in Streitigkeiten zwischen Vorsorgeeinrichtungen und Anspruchsberechtigten ( Art. 73 Abs. 1 und 2 BVG ; Urteil 9C_814/2014 vom 30. April 2015 E. 2 mit Hinweisen).</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9C_967/2008 vom 5. Januar 2009 E. 5.1). Diese Grundsätze gelten auch in Bezug auf die konkrete Beweiswürdigung (vgl. Urteil 9C_999/2010 vom 14. Februar 2011 E. 1);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Streitgegenstand bildet die dem Beschwerdegegner von der Vorinstanz zugesprochene Invalidenleistung der beruflichen Vorsorge (Viertelsrente vom 1. Januar bis 31. März 2010, ganze Rente vom 1. April 2010 bis 30. April 2012, Dreiviertelsrente ab 1. Mai 2012 gemäss Art. 13 des Vorsorgereglements von 2010). Die Beschwerde führende Vorsorgeeinrichtung bestreitet grundsätzlich eine Leistungspflicht, wobei sie eine willkürliche Beweiswürdigung durch die Vorinstanz rügt.</w:t>
      </w:r>
    </w:p>
    <w:p>
      <w:r>
        <w:rPr>
          <w:b/>
        </w:rPr>
        <w:t>E. 3</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 S. 22). Der sachliche Konnex ist gegeben, wenn der Gesundheitsschaden, welcher zur Arbeitsunfähigkeit geführt hat, im Wesentlichen derselbe ist, wie er der Erwerbsunfähigkeit zugrunde liegt ( BGE 138 V 409 E. 6.2 S. 419). Dies setzt bei (späterer) Invalidität aus psychischen Gründen voraus, dass sich die Störung während noch bestehender Versicherungsdeckung manifestiert und das Krankheitsgeschehen erkennbar mitgeprägt hatte ( BGE 134 V 20 E. 3.2 S. 22; Urteil des Eidg. Versicherungsgericht B 37/06 vom 22. September 2006 E. 3.3). In zeitlicher Hinsicht ist verlangt, dass bis zum Eintritt der Invalidität ohne wesentliche Unterbrechung in einer der gesundheitlichen Beeinträchtigung angepassten Tätigkeit ( BGE 134 V 20 ) eine Arbeitsunfähigkeit von wenigstens 20 % bestand (Urteil 9C_656/2014 vom 16. Dezember 2015 E. 5.1.1 mit Hinweisen).</w:t>
      </w:r>
    </w:p>
    <w:p>
      <w:r>
        <w:rPr>
          <w:b/>
        </w:rPr>
        <w:t>E. 4.1</w:t>
      </w:r>
    </w:p>
    <w:p>
      <w:r>
        <w:t>Die Vorinstanz hat die Akten dahingehend gewürdigt, die medizinischen Berichte aus dem Jahre 2006 liessen darauf schliessen, dass eine Arbeitsunfähigkeit von mindestens 20 % bestanden habe. Diese Einschränkung habe sich über die Jahre 2007 und 2008 hinweggezogen. Diverse Arbeitsversuche seien gescheitert, sodass nicht von einer relevanten Unterbrechung der Arbeitsunfähigkeit bzw. von längeren Zeiten der Arbeitsfähigkeit gesprochen werden könne. Zu beachten sei auch der Umstand, dass nicht allein psychiatrische Faktoren zu dieser Einschränkung geführt hätten, sondern gemischt somatisch-psychiatrische Probleme. Allein diese Komplexität lasse es nicht zu, die ab 2009 "attestierte" Invalidität als - infolge nur teilursächlich - nicht mehr im sachlichen Zusammenhang stehend zu bezeichnen. Aufgrund der Krankheitsgeschichte sei festzustellen, dass die heute bestehende Invalidität ihre Ursache bereits im Jahr 2006 gehabt habe, seither eine mindestens 20%ige Arbeitsunfähigkeit bestand, und diese schliesslich IV-rechtlich relevant geworden sei.</w:t>
      </w:r>
    </w:p>
    <w:p>
      <w:r>
        <w:rPr>
          <w:b/>
        </w:rPr>
        <w:t>E. 4.2.1</w:t>
      </w:r>
    </w:p>
    <w:p>
      <w:r>
        <w:t>Die Beschwerdeführerin bringt dagegen im Wesentlichen vor, der Psychiater der Klinik D.________ habe echtzeitlich eine volle Arbeitsfähigkeit festgestellt und ausdrücklich festgehalten, dass auch aus psychiatrischer Sicht keine Einschränkung vorliege (Bericht vom 19. April 2006). Über diese Feststellung setze sich die Vorinstanz mit ihrer Vermutung hinweg, dass eben doch eine Einschränkung vorliege. Diese Vermutung stütze sich einzig auf den Bericht des behandelnden Psychiaters Dr. med. F.________ vom 17. März 2007, wonach eine 20%ige Einschränkung in der zuletzt ausgeübten Tätigkeit in der Qualitätssicherung bestehe und die durch die Klinik D.________ attestierte Arbeitsfähigkeit von 100 % fraglich sei. Diese erste Aussage auf eine psychische Beeinträchtigung mit Auswirkung auf die Arbeitsfähigkeit sei erst erfolgt, als das Vorsorgeverhältnis längst beendet gewesen sei.</w:t>
      </w:r>
    </w:p>
    <w:p>
      <w:r>
        <w:rPr>
          <w:b/>
        </w:rPr>
        <w:t>E. 4.2.2</w:t>
      </w:r>
    </w:p>
    <w:p>
      <w:r>
        <w:t>Mit diesen Vorbringen vermag die Beschwerdeführerin nicht aufzuzeigen, inwiefern die vorinstanzliche Beweiswürdigung und die darauf gestützte Bejahung des sachlichen und zeitlichen Konnexes zwischen Arbeitsunfähigkeit ( Art. 23 lit. a BVG ) und Invalidität ( Art. 28 und 29 IVG i.V.m. Art. 26 Abs. 1 BVG ; E. 3 hiervor) willkürlich sein soll. Vorab lässt sie unerwähnt, dass nach verbindlicher Feststellung der Vorinstanz (E. 1.1 hiervor) die Klinik E.________ noch im Oktober 2006 eine Arbeitsunfähigkeit von 100 % bis auf Weiteres attestiert hatte (Bericht vom 31. Oktober 2006). Wie auch der Beschwerdegegner sodann in seiner Vernehmlassung festhält, stand er seit 15. Mai 2006 bei Dr. med. F.________ in Behandlung. Bereits aus diesem Grund kann seinem rund eineinhalb Monate nach Ablauf der Nachdeckungsfrist ( Art. 10 Abs. 3 BVG ) Ende Januar 2007 verfassten Bericht vom 17. März 2007, worin er eine Einschränkung der Leistungsfähigkeit aus psychiatrischer Sicht von 20 bis 30 % angab, nicht mit der Begründung der Beweiswert abgesprochen werden, es handle sich dabei nicht um ein echtzeitliches Dokument. Soweit schliesslich die Beschwerdeführerin auf das mit Entscheid des Verwaltungsgerichts des Kantons Luzern vom 6. August 2010 abgeschlossene unfallversicherungsrechtliche Verfahren Bezug nimmt, übt sie unzulässige appellatorische Kritik am angefochtenen Entscheid (E. 1.2 hiervor).</w:t>
      </w:r>
    </w:p>
    <w:p>
      <w:r>
        <w:rPr>
          <w:b/>
        </w:rPr>
        <w:t>E. 5</w:t>
      </w:r>
    </w:p>
    <w:p>
      <w:r>
        <w:t>Die von der Vorinstanz festgesetzten Umfang und Dauer des Rentenanspruchs gemäss Vorsorgereglement sowie die Verzugszinspflicht werden nicht bestritten. Es besteht kein Anlass zu einer näheren Prüfung. Die Beschwerde ist unbegründet.</w:t>
      </w:r>
    </w:p>
    <w:p>
      <w:r>
        <w:rPr>
          <w:b/>
        </w:rPr>
        <w:t>E. 6</w:t>
      </w:r>
    </w:p>
    <w:p>
      <w:r>
        <w:t>Ausgangsgemäss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