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36/2014 vom 7. April 2014</w:t>
      </w:r>
    </w:p>
    <w:p>
      <w:r>
        <w:t>Bundesgericht, 2014-04-07, FR</w:t>
      </w:r>
    </w:p>
    <w:p>
      <w:r>
        <w:rPr>
          <w:b/>
        </w:rPr>
        <w:t xml:space="preserve">Quelle: </w:t>
      </w:r>
      <w:r>
        <w:t>https://mcp.opencaselaw.ch/entscheid/bger_9C_36_2014</w:t>
      </w:r>
    </w:p>
    <w:p>
      <w:r>
        <w:t>FR: TF 9C 36/2014 du 7 avril 2014</w:t>
      </w:r>
    </w:p>
    <w:p>
      <w:r>
        <w:t>IT: TF 9C 36/2014 del 7 aprile 2014</w:t>
      </w:r>
    </w:p>
    <w:p>
      <w:pPr>
        <w:pStyle w:val="Heading2"/>
      </w:pPr>
      <w:r>
        <w:t>Regeste</w:t>
      </w:r>
    </w:p>
    <w:p>
      <w:r>
        <w:t>Prestation complémentaire à l'AVS/AI | Prestations complémentaires à l'AVS/AI</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Dans la mesure où le recourant n'avait pas réussi à démontrer que l'entier des dépenses qu'il avait faites entre le 1 er janvier 2004 et le 31 décembre 2008 l'avait été moyennant contre-prestation adéquate, la juridiction cantonale a considéré qu'il ne pouvait se prévaloir d'une diminution équivalente de sa fortune et devait accepter que l'on prenne en considération l'existence d'une fortune hypothétique.</w:t>
      </w:r>
    </w:p>
    <w:p>
      <w:r>
        <w:rPr>
          <w:b/>
        </w:rPr>
        <w:t>E. 2.2</w:t>
      </w:r>
    </w:p>
    <w:p>
      <w:r>
        <w:t>Le recourant reproche à la juridiction cantonale d'avoir violé le droit fédéral. En substance, celle-ci aurait ignoré que le montant du dessaisissement avait été plus que remboursé, dès lors que son fils D.________ avait subvenu à ses besoins entre les mois de juin 2009 et décembre 2012 en lui versant à bien plaire durant cette période un montant total de 380'000 fr.</w:t>
      </w:r>
    </w:p>
    <w:p>
      <w:r>
        <w:rPr>
          <w:b/>
        </w:rPr>
        <w:t>E. 3.1</w:t>
      </w:r>
    </w:p>
    <w:p>
      <w:r>
        <w:t>Aux termes de l' art. 11 al. 1 let . g LPC, les revenus déterminants pour calculer le montant de la prestations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 ATF 134 I 65 consid. 3.2 p. 70; 131 V 329 consid. 4.2. p. 332).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9C_945/2011 du 11 juillet 2012 consid. 6.2).</w:t>
      </w:r>
    </w:p>
    <w:p>
      <w:r>
        <w:rPr>
          <w:b/>
        </w:rPr>
        <w:t>E. 3.2</w:t>
      </w:r>
    </w:p>
    <w:p>
      <w:r>
        <w:t>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 pour les personnes seules, 60'000 fr. pour les couples et 15'000 fr. pour les orphelins et les enfants donnant droit à des rentes pour enfants de l'AVS ou de l'AI ( art. 11 al. 1 let . c LPC). Il est augmenté, ensuite, du revenu que la contre-prestation aurait procuré à l'ayant droit; en règle générale, la jurisprudence se réfère, pour fixer ce revenu, au taux d'intérêt moyen sur les dépôts d'épargne servi par l'ensemble des banques au cours de l'année précédant celle de l'octroi de la prestation complémentaire ( ATF 123 V 35 consid. 2a p. 37; 120 V 182 consid. 4e p. 185). Il convient toutefois de réduire de 10'000 francs par an la part de fortune dessaisie à prendre en considération, conformément à l' art. 17a OPC-AVS/AI . On présume ainsi que l'ayant droit, à supposer qu'il ne se fût pas dessaisi de sa fortune, en aurait mis une partie à contribution pour subvenir à ses besoins; l'amortissement prévu par l' art. 17a OPC-AVS/AI n'est toutefois admis que sous la forme d'un forfait indépendant du montant exact de la fortune dessaisie ou de celle dont dispose encore l'ayant droit (cf. arrêt 8C_68/2008 du 27 janvier 2009 consid. 4.2.2 et les références, in SVR 2009 EL n° 6 p. 21).</w:t>
      </w:r>
    </w:p>
    <w:p>
      <w:r>
        <w:rPr>
          <w:b/>
        </w:rPr>
        <w:t>E. 3.3</w:t>
      </w:r>
    </w:p>
    <w:p>
      <w:r>
        <w:t>Selon l' art. 11 al. 3 LPC , ne font pas partie du revenu déterminant les aliments fournis par les proches en vertu des art. 328 ss CC (let. a) ainsi que les prestations provenant de personnes et d'institutions publiques ou privées ayant manifestement le caractère d'assistance (let. c). Les aliments dus en vertu des art. 328 ss CC ont en effet un caractère subsidiaire par rapport aux prestations complémentaires. Comme l'a indiqué le Conseil fédéral dans son Message du 21 septembre 1964 relatif à un projet de loi sur les prestations complémentaires à l'assurance-vieillesse, survivants et invalidité, l'art. 3 al. 3 aLPC (aujourd'hui: art. 11 al. 3 LPC ) consacre la priorité des prestations complémentaires, en tant que prestations d'assurance, sur les prestations d'aide ou d'entretien. Du point de vue social, il importe en effet que les secours de proches - au même titre que ceux de l'assistance publique - ne soient pas pris en compte dans le calcul du revenu déterminant (FF 1964 II 732). Cette subsidiarité trouve son expression dans le système légal, qui veut que l'allocation de prestations selon l' art. 11 al. 3 LPC , n'influe pas sur le montant d'éventuelles prestations complémentaires (arrêt 9C_67/2011 du 29 août 2011 consid. 5.2).</w:t>
      </w:r>
    </w:p>
    <w:p>
      <w:r>
        <w:rPr>
          <w:b/>
        </w:rPr>
        <w:t>E. 4</w:t>
      </w:r>
    </w:p>
    <w:p>
      <w:r>
        <w:t>En l'espèce, le jugement attaqué s'avère en tous points conforme au droit fédéral.</w:t>
      </w:r>
    </w:p>
    <w:p>
      <w:r>
        <w:rPr>
          <w:b/>
        </w:rPr>
        <w:t>E. 4.1</w:t>
      </w:r>
    </w:p>
    <w:p>
      <w:r>
        <w:t>L'aide matérielle allouée par D.________ entre 2009 et 2012 ne saurait constituer une contrepartie adéquate au dessaisissement de fortune dont le recourant s'est fait l'auteur entre 2004 et 2008. Comme l'a relevé à juste titre la juridiction cantonale, un lien de connexité entre ces deux éléments fait manifestement défaut. En effet, D.________ a alloué son aide de façon gratuite et discrétionnaire cela après que le recourant avait épuisé l'entier de sa fortune. Dans la décision sur opposition qu'il a rendu le 17 août 2012, le SPC a d'ailleurs admis que cette aide ne constituait pas un revenu déterminant au sens de l' art. 11 al. 1 LPC et n'en a pas tenu compte pour calculer la prestation complémentaire. Le fait de prendre désormais en considération ladite aide comme une contre-prestation à un dessaisissement reviendrait à procéder à un changement de qualification de ce revenu, ce qui, au regard de la sécurité juridique, ne saurait être admis qu'avec une extrême réserve (cf. ATF 131 V 329 consid. 4.2 p. 333).</w:t>
      </w:r>
    </w:p>
    <w:p>
      <w:r>
        <w:rPr>
          <w:b/>
        </w:rPr>
        <w:t>E. 4.2</w:t>
      </w:r>
    </w:p>
    <w:p>
      <w:r>
        <w:t>Quant aux critiques formulées par le recourant à propos de la manière dont l'intimé a calculé le montant total du dessaisissement, elles sont infondées. La feuille de calcul établie par l'intimé montre de façon claire, sur la base d'une comparaison entre le montant total des dépenses reconnues et la diminution effective de la fortune, les raisons pour lesquelles il fallait retenir l'existence d'un dessaisissement de fortune d'un montant total de 288'513 fr. au cours de la période située entre 2004 et 2008. Le recourant ne cherche pas, par le biais d'explications circonstanciées, à établir le caractère erroné des calculs présentés dans ce document. Faute de respecter la notion de dessaisissement et la jurisprudence en la matière, on ne saurait suivre la démonstration à laquelle tente de procéder le recourant visant à opposer le montant de sa fortune au 31 décembre 2003 (572'664 fr.) au total des dépenses reconnues durant la période du 1 er janvier 2004 au 31 décembre 2013 (450'000 fr.).</w:t>
      </w:r>
    </w:p>
    <w:p>
      <w:r>
        <w:rPr>
          <w:b/>
        </w:rPr>
        <w:t>E. 5</w:t>
      </w:r>
    </w:p>
    <w:p>
      <w:r>
        <w:t>Mal fondé, le présent recours doit être rejeté. Le recourant,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