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36/2013 vom 21. Juni 2013</w:t>
      </w:r>
    </w:p>
    <w:p>
      <w:r>
        <w:t>Bundesgericht, 2013-06-21, FR</w:t>
      </w:r>
    </w:p>
    <w:p>
      <w:r>
        <w:rPr>
          <w:b/>
        </w:rPr>
        <w:t xml:space="preserve">Quelle: </w:t>
      </w:r>
      <w:r>
        <w:t>https://mcp.opencaselaw.ch/entscheid/bger_9C_36_2013</w:t>
      </w:r>
    </w:p>
    <w:p>
      <w:r>
        <w:t>FR: TF 9C 36/2013 du 21 juin 2013</w:t>
      </w:r>
    </w:p>
    <w:p>
      <w:r>
        <w:t>IT: TF 9C 36/2013 del 21 giugno 2013</w:t>
      </w:r>
    </w:p>
    <w:p>
      <w:pPr>
        <w:pStyle w:val="Heading2"/>
      </w:pPr>
      <w:r>
        <w:t>Regeste</w:t>
      </w:r>
    </w:p>
    <w:p>
      <w:r>
        <w:t>Assurance-invalidité | Assurance-invalidité</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(cf. arrêt 9C_684/2007 du 27 décembre 2007 consid. 1.1, in SVR 2008 IV n° 39 p. 131; cf., sous l'ancien droit, ATF 133 V 477 consid. 5.2.2 p. 483; 129 I 313 consid. 3.2 p. 317 et les références citées). Lorsque l'autorité administrative à laquelle la cause est renvoyée dispose de la qualité pour recourir au Tribunal fédéral, elle doit également pouvoir attaquer un arrêt de renvoi - à supposer même qu'il soit incident -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 formelle Beschwer "; cf. ATF 133 V 477 consid. 5.2.4 p. 484).</w:t>
      </w:r>
    </w:p>
    <w:p>
      <w:r>
        <w:rPr>
          <w:b/>
        </w:rPr>
        <w:t>E. 1.3</w:t>
      </w:r>
    </w:p>
    <w:p>
      <w:r>
        <w:t>Dans le cas particulier, la juridiction cantonale a, d'une part, constaté que l'intimé avait un statut de personne exerçant une activité lucrative à temps complet et, d'autre part, ordonné le renvoi pour complément d'instruction sur le plan médical et nouvelle décision. En tant qu'il renvoie le dossier à l'administration pour qu'elle rende une nouvelle décision, le jugement entrepris doit être qualifié de décision incidente au sens de l' art. 93 LTF . Cela étant, le jugement attaqué tranche également de manière définitive une question de droit matériel portant sur le statut de l'intimé. En obligeant l'office recourant à évaluer le degré d'invalidité de l'intimé en appliquant la méthode ordinaire de comparaison des revenus, le jugement attaqué contient des instructions impératives qui ne lui laissent plus aucune latitude de jugement pour la suite de la procédure, de sorte qu'il sera tenu de rendre une décision qui, selon lui, est contraire au droit fédéral. En cela, il subit un préjudice irréparable au sens de l' art. 93 al. 1 let. a LTF , si bien qu'il y a lieu d'entrer en matière sur son recours.</w:t>
      </w:r>
    </w:p>
    <w:p>
      <w:r>
        <w:rPr>
          <w:b/>
        </w:rPr>
        <w:t>E. 1.4</w:t>
      </w:r>
    </w:p>
    <w:p>
      <w:r>
        <w:t>En revanche, en tant que le jugement attaqué renvoie la cause à l'administration pour complément d'instruction, le recours contre cette partie du jugement est irrecevable. Même si la décision de renvoi attaquée procédait d'une constatation manifestement erronée des faits pertinents ou d'une violation du droit fédéral, cela ne constituerait pas un dommage qui ne pourrait plus être réparé dans la suite de la procédure (arrêt 9C_446/2007 du 5 décembre 2007 consid. 3).</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considéré qu'il existait suffisamment d'indices établissant avec une vraisemblance prépondérante que l'intimé aurait travaillé à plein temps s'il n'avait pas été atteint dans sa santé. Certes, l'enquêtrice de l'office recourant avait conclu que " sans atteinte à la santé, l'assuré aurait continué à vivre avec la rente de son épouse et les prestations complémentaires ". Cette conclusion, qui contredisait expressément les déclarations faites par l'intimé à l'enquêtrice, n'était toutefois pas motivée. On ignorait ainsi ce qui avait conduit l'enquêtrice à la formuler. Même si l'intimé admettait n'avoir jamais effectué de recherches d'emploi depuis qu'il avait cessé son activité cet élément n'était pas suffisant pour retenir un statut de personne sans activité lucrative. Au contraire, il ressortait du dossier que l'intimé avait connu des problèmes de socialisation (sous la forme d'une distanciation des règles de la société) accompagnés d'une dépendance à l'alcool, qui n'auraient pas été reconnus incapacitants du point de vue de l'assurance-invalidité, mais qui, sans doute, avaient provoqué sa marginalisation et ne lui ont pas permis de reprendre une activité lucrative.</w:t>
      </w:r>
    </w:p>
    <w:p>
      <w:r>
        <w:rPr>
          <w:b/>
        </w:rPr>
        <w:t>E. 3.2</w:t>
      </w:r>
    </w:p>
    <w:p>
      <w:r>
        <w:t>L'office recourant reproche à la juridiction cantonale d'avoir procédé à une constatation manifestement inexacte des faits pertinents consécutive à une mauvaise appréciation des preuves et d'avoir violé le droit fédéral, en reconnaissant à l'intimé un statut de personne exerçant une activité lucrative. Il lui fait plus particulièrement grief de s'être écartée des explications fournies par l'enquêtrice de l'assurance-invalidité pour se fonder exclusivement sur les déclarations de l'intimé, alors même qu'aucun élément de preuve ne venait corroborer ses dires. Or, il ressortait du dossier que l'intimé n'avait entrepris depuis 1996 aucune démarche pour exercer une activité lucrative ou s'intégrer sur le marché de travail, s'étant contenté durant toute cette période de vivre avec la rente de son épouse et les prestations complémentaires que celle-ci touchait en plus.</w:t>
      </w:r>
    </w:p>
    <w:p>
      <w:r>
        <w:rPr>
          <w:b/>
        </w:rPr>
        <w:t>E. 4.1</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sans activité lucrative, assuré exerçant une activité lucrative à temps partiel.</w:t>
      </w:r>
    </w:p>
    <w:p>
      <w:r>
        <w:rPr>
          <w:b/>
        </w:rPr>
        <w:t>E. 4.1.1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 art. 16 LPGA ) et ses sous-variantes, la méthode de comparaison en pour-cent ( ATF 114 V 310 consid. 3a p. 313 et les références) et la méthode extraordinaire de comparaison des revenus ( ATF 128 V 29 ; voir également arrêt 9C_236/2009 du 7 octobre 2009 consid. 3 et 4, in SVR 2010 IV n° 11 p. 35).</w:t>
      </w:r>
    </w:p>
    <w:p>
      <w:r>
        <w:rPr>
          <w:b/>
        </w:rPr>
        <w:t>E. 4.1.2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 5 al. 1 LAI et 27 RAI).</w:t>
      </w:r>
    </w:p>
    <w:p>
      <w:r>
        <w:rPr>
          <w:b/>
        </w:rPr>
        <w:t>E. 4.1.3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w:t>
      </w:r>
    </w:p>
    <w:p>
      <w:r>
        <w:rPr>
          <w:b/>
        </w:rPr>
        <w:t>E. 4.2</w:t>
      </w:r>
    </w:p>
    <w:p>
      <w:r>
        <w:t>Pour déterminer la méthode applicable au cas particulier, il faut non pas, malgré la teneur de l' art. 8 al. 3 LPGA , chercher à savoir dans quelle mesure l'exercice d'une activité lucrative aurait été exigible de la part de l'assuré, mais se demander ce que l'assuré aurait fait si l'atteinte à la santé n'était pas survenue ( ATF 133 V 504 consid. 3.3. p. 507;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137 V 334 consid. 3 p. 337 et les références).</w:t>
      </w:r>
    </w:p>
    <w:p>
      <w:r>
        <w:rPr>
          <w:b/>
        </w:rPr>
        <w:t>E. 4.3</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w:t>
      </w:r>
    </w:p>
    <w:p>
      <w:r>
        <w:rPr>
          <w:b/>
        </w:rPr>
        <w:t>E. 4.4</w:t>
      </w:r>
    </w:p>
    <w:p>
      <w:r>
        <w:t>Pour déterminer la méthode applicable au cas particulier, il convient par conséquent non pas de se demander ce qui peut être exigé de la personne assurée, mais ce qu'elle ferait dans les mêmes circonstances si l'atteinte à la santé n'était pas survenue ( ATF 137 V 477 consid. 6.3 p. 486 et les références; voir également arrêt 9C_27/2012 du 13 décembre 2012 consid. 3, in SVR 2013 IV n° 18 p. 48).</w:t>
      </w:r>
    </w:p>
    <w:p>
      <w:r>
        <w:rPr>
          <w:b/>
        </w:rPr>
        <w:t>E. 4.4.1</w:t>
      </w:r>
    </w:p>
    <w:p>
      <w:r>
        <w:t>Le raisonnement tenu par l'office recourant à l'appui de son recours en matière de droit public repose sur la prémisse erronée que l'absence d'exercice d'une activité lucrative avant la survenance de l'atteinte à la santé induirait nécessairement l'application de la méthode spécifique d'évaluation de l'invalidité à la personne assurée concernée. Cette interprétation ne correspond toutefois pas au système de la loi. En effet, les travaux habituels qui peuvent être assimilés à l'exercice d'une activité lucrative et que l'on peut dès lors prendre en compte, par le biais de la méthode spécifique, pour l'évaluation de l'invalidité sont les travaux du ménage (y compris l'éducation des enfants), le fait de suivre une formation, toute activité artistique ou d'utilité publique ou encore les travaux auxquels se consacrent les communautés religieuses ( art. 27 RAI ; cf. Message du Conseil fédéral concernant la 4e révision de la loi fédérale sur l'assurance-invalidité, FF 2001 IV 3110). En l'espèce, l'intimé ne s'inscrit pas dans l'une des catégories décrites ci-dessus. L'office recourant n'évoque d'ailleurs aucun argument qui permettrait d'admettre que l'intimé avait décidé, depuis qu'il avait cessé de travailler, de consacrer son temps à l'accomplissement de travaux habituels. Au contraire, l'intimé avait affirmé à l'enquêtrice de l'office recourant qu'il n'avait pas l'habitude de participer aux tâches ménagères, lui et son épouse étant partisans d'un modèle familial dit traditionnel. Il résulte de ce qui précède que la méthode spécifique d'évaluation de l'invalidité n'entrait pas en ligne de compte dans le cas d'espèce.</w:t>
      </w:r>
    </w:p>
    <w:p>
      <w:r>
        <w:rPr>
          <w:b/>
        </w:rPr>
        <w:t>E. 4.4.2</w:t>
      </w:r>
    </w:p>
    <w:p>
      <w:r>
        <w:t>Cela étant, la méthode générale de comparaison des revenus n'est pas non plus applicable au cas d'espèce. En tant que la juridiction cantonale a considéré que l'intimé aurait travaillé à plein temps sans l'atteinte à la santé, elle ne peut être suivie. Comme le met en évidence l'office recourant, l'intimé n'a, depuis qu'il a cessé de travailler, entrepris aucune démarche pour exercer une activité professionnelle durable ou, à tout le moins, pour se réinsérer dans le monde du travail, hormis des activités en 2005 et en 2007 dont on ignore les détails (rapport d'expertise du docteur S.________ du 1 er mai 2011, p. 3). Il n'a pas non plus sollicité au cours de cette période une intervention de l'assurance-invalidité. Hormis les déclarations faites par l'intimé à l'enquêtrice de l'office recourant, la juridiction cantonale n'a mis en évidence aucune circonstance particulière qui aurait justifié que l'intimé change un mode de vie dont il s'était accommodé depuis de très nombreuses années. La distance prise par l'intimé à l'égard des règles de la société et la marginalisation que celle-ci a entraînée ne sauraient être à cet égard des facteurs justifiant une intervention de l'assurance-invalidité après la survenance d'une atteinte à la santé. Il est vrai que le docteur B.________ a indiqué que l'intimé présentait des problèmes de dos combinés avec le début d'un trouble dépressif et une consommation excessive d'alcool qui l'empêchait d'exercer une activité lucrative depuis 1995. Les observations de ce médecin ne sont toutefois étayées par aucun document faisant état d'une prise en charge médicale antérieure à 2009 pour les troubles allégués, sinon une hospitalisation de courte durée en 2005 à la suite d'un accident. De fait, il n'existait pas suffisamment d'éléments établissant, au degré de la vraisemblance prépondérante, que l'intimé aurait exercé, voire repris, une activité professionnelle s'il n'avait pas été atteint dans sa santé.</w:t>
      </w:r>
    </w:p>
    <w:p>
      <w:r>
        <w:rPr>
          <w:b/>
        </w:rPr>
        <w:t>E. 4.5</w:t>
      </w:r>
    </w:p>
    <w:p>
      <w:r>
        <w:t>Dans la mesure où il est établi qu'en l'absence d'atteinte à la santé, l'intimé n'aurait pas exercé une activité lucrative ni consacré son temps à l'accomplissement de travaux habituels, l'hypothèse d'une perte de gain ou de capacité à vaquer à ses travaux habituels doit être écartée. Pour ce motif, l'intimé ne saurait prétendre à l'octroi d'une rente de l'assurance-invalidité, sans qu'il y ait lieu d'examiner plus avant la problématique médicale.</w:t>
      </w:r>
    </w:p>
    <w:p>
      <w:r>
        <w:rPr>
          <w:b/>
        </w:rPr>
        <w:t>E. 5.1</w:t>
      </w:r>
    </w:p>
    <w:p>
      <w:r>
        <w:t>Le recours doit par conséquent être admis et le jugement attaqué annulé. Les frais afférents à la présente procédure seront supportés par l'intimé qui succombe ( art. 66 al. 1 LTF ). Il a cependant déposé une demande d'assistance judiciaire visant à la dispense des frais judiciaires et à la désignation d'un avocat d'office. Les conditions d'octroi étant visiblement réalisées ( art. 64 al. 1 et 2 LTF ), celle-ci lui est accordée. Il est toutefois rendu attentif au fait qu'il devra rembourser la caisse du Tribunal, s'il retrouve ultérieurement une situation financière lui permettant de le faire ( art. 64 al. 4 LTF ).</w:t>
      </w:r>
    </w:p>
    <w:p>
      <w:r>
        <w:rPr>
          <w:b/>
        </w:rPr>
        <w:t>E. 5.2</w:t>
      </w:r>
    </w:p>
    <w:p>
      <w:r>
        <w:t>Le présent arrêt rend sans objet la demande d'effet suspensif déposée par l'office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