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9C_366/2019 vom 26. Juni 2019</w:t>
      </w:r>
    </w:p>
    <w:p>
      <w:r>
        <w:t>Bundesgericht, 2019-06-26, FR</w:t>
      </w:r>
    </w:p>
    <w:p>
      <w:r>
        <w:rPr>
          <w:b/>
        </w:rPr>
        <w:t xml:space="preserve">Quelle: </w:t>
      </w:r>
      <w:r>
        <w:t>https://mcp.opencaselaw.ch/entscheid/bger_9C_366_2019</w:t>
      </w:r>
    </w:p>
    <w:p>
      <w:r>
        <w:t>FR: TF 9C_366/2019 du 26 juin 2019</w:t>
      </w:r>
    </w:p>
    <w:p>
      <w:r>
        <w:t>IT: TF 9C_366/2019 del 26 giugno 2019</w:t>
      </w:r>
    </w:p>
    <w:p>
      <w:pPr>
        <w:pStyle w:val="Heading2"/>
      </w:pPr>
      <w:r>
        <w:t>Volltext</w:t>
      </w:r>
    </w:p>
    <w:p>
      <w:r>
        <w:t>Bundesgericht</w:t>
      </w:r>
    </w:p>
    <w:p>
      <w:r>
        <w:t>Tribunal fédéral</w:t>
      </w:r>
    </w:p>
    <w:p>
      <w:r>
        <w:t>Tribunale federale</w:t>
      </w:r>
    </w:p>
    <w:p>
      <w:r>
        <w:t>Tribunal federal</w:t>
      </w:r>
    </w:p>
    <w:p>
      <w:r>
        <w:t>9C_366/2019</w:t>
      </w:r>
    </w:p>
    <w:p>
      <w:r>
        <w:t>Arrêt du 26 juin 2019</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Caisse cantonale vaudoise de compensation AVS, rue des Moulins 3, 1800 Vevey,</w:t>
      </w:r>
    </w:p>
    <w:p>
      <w:r>
        <w:t>intimée.</w:t>
      </w:r>
    </w:p>
    <w:p>
      <w:r>
        <w:t>Objet</w:t>
      </w:r>
    </w:p>
    <w:p>
      <w:r>
        <w:t>Prestation complémentaire à l'AVS/AI,</w:t>
      </w:r>
    </w:p>
    <w:p>
      <w:r>
        <w:t>recours contre le jugement du Tribunal cantonal</w:t>
      </w:r>
    </w:p>
    <w:p>
      <w:r>
        <w:t>du canton de Vaud, Cour des assurances sociales,</w:t>
      </w:r>
    </w:p>
    <w:p>
      <w:r>
        <w:t>du 4 avril 2019 (AVS 52/17 - 15/2019).</w:t>
      </w:r>
    </w:p>
    <w:p>
      <w:r>
        <w:t>Vu :</w:t>
      </w:r>
    </w:p>
    <w:p>
      <w:r>
        <w:t>le recours du 27 mai 2019(timbre postal) contre le jugement du Tribunal cantonal du canton de Vaud, Cour des assurances sociales, du 4 avril 2019,</w:t>
      </w:r>
    </w:p>
    <w:p>
      <w:r>
        <w:t>considérant :</w:t>
      </w:r>
    </w:p>
    <w:p>
      <w:r>
        <w:t>que selon l' art. 42 al. 1 et 2 LTF , le recours doit indiquer, entre autres exigences, les conclusions, les motifs et les moyens de preuve, en exposant succinctement en quoi l'acte attaqué est contraire au droit,</w:t>
      </w:r>
    </w:p>
    <w:p>
      <w:r>
        <w:t>qu'en l'espèce, l'écriture déposée le 27 mai 2019 ne contient pas de conclusions, ou des conclusions insuffisantes, le recourant se contentant de rappeler le déroulement des faits et de requérir l'octroi de l'assistance judiciaire, sans indiquer ni les motifs pour lesquels, à son avis, la juridiction de première instance aurait dû donner suite à ses plaintes, ni en quoi l'issue du jugement violerait le droit,</w:t>
      </w:r>
    </w:p>
    <w:p>
      <w:r>
        <w:t>que l'on ne peut pas en déduire en quoi les constatations des premiers juges seraient inexactes - au sens de l' art. 97 al. 1 LTF -, ni en quoi l'acte attaqué serait contraire au droit,</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w:t>
      </w:r>
    </w:p>
    <w:p>
      <w:r>
        <w:t>ème phrase, LTF, il convient de renoncer à la perception des frais judiciaires, ce qui rend sans objet la demande d'assistance judiciaire sur ce point,</w:t>
      </w:r>
    </w:p>
    <w:p>
      <w:r>
        <w:t>que dans la mesure où elle tend à la désignation d'un avocat, la demande d'assistance judiciaire doit être pour le surplus rejetée, vu l'absence de chances de succès du recours (cf. art. 64 LTF ),</w:t>
      </w:r>
    </w:p>
    <w:p>
      <w:r>
        <w:t>qu'à cet égard, on rappellera que le respect du délai de recours ainsi que l'exigence d'un examen des chances de succès contraignent la partie recourante à déposer une écriture en bonne et due forme avant qu'il soit statué sur l'assistance judiciaire,</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26 juin 2019</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