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9C_366/2016 vom 11. August 2016</w:t>
      </w:r>
    </w:p>
    <w:p>
      <w:r>
        <w:t>Bundesgericht, 2016-08-11, DE</w:t>
      </w:r>
    </w:p>
    <w:p>
      <w:r>
        <w:rPr>
          <w:b/>
        </w:rPr>
        <w:t xml:space="preserve">Quelle: </w:t>
      </w:r>
      <w:r>
        <w:t>https://mcp.opencaselaw.ch/entscheid/bger_9C_366_2016</w:t>
      </w:r>
    </w:p>
    <w:p>
      <w:r>
        <w:t>FR: TF 9C_366/2016 du 11 août 2016</w:t>
      </w:r>
    </w:p>
    <w:p>
      <w:r>
        <w:t>IT: TF 9C_366/2016 del 11 agosto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2.1</w:t>
      </w:r>
    </w:p>
    <w:p>
      <w:r>
        <w:t>Das kantonale Gericht hat in seinem Entscheid vom 1. April 2016 über zwei verschiedene voneinander losgelöste Anfechtungsobjekte geurteilt. Zum einen ging es um die Verfügung vom 28. August 2015, die das Festhalten der IV-Stelle an der Abklärung durch das ABI zum Inhalt hat. Zum andern bildete die von der Beschwerdeführerin vorgebrachte Rechtsverweigerung (fingiertes) Anfechtungsobjekt ( Art. 46a VwVG und Art. 56 Abs. 2 ATSG ; Urteil 9C_329/2011 vom 27. September 2011 E. 2 mit Hinweis auf die Literatur, in: SVR 2012 IV Nr. 23 S. 97).</w:t>
      </w:r>
    </w:p>
    <w:p>
      <w:r>
        <w:rPr>
          <w:b/>
        </w:rPr>
        <w:t>E. 2.2</w:t>
      </w:r>
    </w:p>
    <w:p>
      <w:r>
        <w:t>Derjenige Teil des Entscheides vom 1. April 2016, der von der Rechtsverweigerung und -verzögerung handelt (vorinstanzliche E. 7-9), besteht unabhängig von der - in den vorinstanzlichen Erwägungen 1-6 erörterten - Frage nach dem Festhalten der IV-Stelle an der Abklärung durch das ABI. Die Beschwerdeführerin ficht - wie sich aus der Begründung der Beschwerdeschrift ergibt (Urteil 9C_251/2009 vom 15. Mai 2009 E. 1.3, in: Anwaltsrevue 2009/8 S. 393) - den vorinstanzlichen Entscheid einzig in Bezug auf die abgewiesene Rechtsverweigerung und -verzögerung an. Die angeordnete Begutachtung im ABI ist somit nicht Streitgegenstand ( BGE 125 V 413 E. 2a S. 415). Soweit es zur Behandlung der Rechtsverweigerungs- und -verzögerungsbeschwerde nötig ist, ist trotzdem darauf einzugehen (unten E. 5).</w:t>
      </w:r>
    </w:p>
    <w:p>
      <w:r>
        <w:rPr>
          <w:b/>
        </w:rPr>
        <w:t>E. 3</w:t>
      </w:r>
    </w:p>
    <w:p>
      <w:r>
        <w:t>Streitig und zu prüfen ist mithin, ob das Rechtsverweigerungs- oder Rechtsverzögerungsverbot verletzt ist (vgl. Art. 6 Ziff. 1 EMRK und Art. 29 Abs. 1 BV ). Soweit die Versicherte materielle Begehren (Massnahmen zur Wiedereingliederung) stellt, kann darauf nicht eingetreten werden, da im Rahmen der Beurteilung einer Rechtsverweigerung resp. -verzögerung nur diese Gegenstand des Verfahrens bildet, nicht aber der zugrunde liegende materielle Streit (Urteil I 328/03 vom 23. Oktober 2003 E. 4.2, in: SVR 2005 IV Nr. 26 S. 102; vgl. auch Urteil 8C_336/2012 vom 13. August 2012 E. 3, nicht publ. in: BGE 138 V 318 , aber in: SVR 2013 UV Nr. 2 S. 3).</w:t>
      </w:r>
    </w:p>
    <w:p>
      <w:r>
        <w:rPr>
          <w:b/>
        </w:rPr>
        <w:t>E. 4.1</w:t>
      </w:r>
    </w:p>
    <w:p>
      <w:r>
        <w:t>Das kantonale Gericht erwog, der Vorwurf der Rechtsverweigerung sei unbegründet. Die IV-Stelle habe sich nicht geweigert, über einen Anspruch betreffend Integrationsmassnahmen zu befinden, sondern habe sich auf den Standpunkt gestellt, dass eine solche Entscheidung zum jetzigen Zeitpunkt wegen noch abzuklärender Voraussetzungen nicht möglich sei. Die Rüge der Rechtsverzögerung verwarf die Vorinstanz mit der Argumentation, die Betrachtungsweise der IV-Stelle, es bestehe weiterer Abklärungsbedarf in Bezug auf die zentrale Frage der Arbeitsfähigkeit in einer optimal angepassten Tätigkeit und das entsprechende Belastungsprofil, sei nachvollziehbar. Zwischenzeitlich habe die Beschwerdeführerin eine Hormontherapie beendet. Dieser Umstand vermöge unstreitig die Arbeitsfähigkeit der Versicherten zu beeinflussen. Durch das Festhalten an der Begutachtung als Abklärungsmassnahme habe die IV-Stelle, die in diesem Bereich über einen weiten Handlungsspielraum verfüge, ihr Ermessen nicht offensichtlich überschritten.</w:t>
      </w:r>
    </w:p>
    <w:p>
      <w:r>
        <w:rPr>
          <w:b/>
        </w:rPr>
        <w:t>E. 4.2</w:t>
      </w:r>
    </w:p>
    <w:p>
      <w:r>
        <w:t>Die Beschwerdeführerin rügt, durch die Weigerung, ihr Gesuch um Wiedereingliederungsmassnahmen nach Art. 8a IVG materiell zu behandeln, habe die IV-Stelle eine Rechtsverweigerung respektive eine Rechtsverzögerung begangen.</w:t>
      </w:r>
    </w:p>
    <w:p>
      <w:r>
        <w:rPr>
          <w:b/>
        </w:rPr>
        <w:t>E. 5.1</w:t>
      </w:r>
    </w:p>
    <w:p>
      <w:r>
        <w:t>Eine Gerichts- oder Verwaltungsbehörde muss jeden Entscheid binnen einer Frist fassen, die nach der Natur der Sache und nach den gesamten übrigen Umständen als angemessen erscheint (vgl. Art. 52 Abs. 2 Satz 1 ATSG ). Wenn der Versicherungsträger entgegen dem Begehren der betroffenen Person innert angemessener Frist keine Verfügung oder keinen Einspracheentscheid erlässt, so kann Rechtsverweigerungs- resp. Rechtsverzögerungsbeschwerde erhoben werden ( Art. 56 Abs. 2 ATSG ). Bei der Rechtsverzögerungsbeschwerde fehlt es grundsätzlich an einem Anfechtungsobjekt, weil die zum Entscheid berufene Behörde untätig bleibt. Eine Rechtsverzögerung kann ausnahmsweise auch durch eine positive Anordnung begangen werden,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 BGE 131 V 407 E. 1.1 S. 409 mit Hinweisen; Urteil 9C_548/2010 vom 10. August 2010 E. 2.1 mit Hinweisen).</w:t>
      </w:r>
    </w:p>
    <w:p>
      <w:r>
        <w:rPr>
          <w:b/>
        </w:rPr>
        <w:t>E. 5.2</w:t>
      </w:r>
    </w:p>
    <w:p>
      <w:r>
        <w:t>Den Ausführungen der Vorinstanz, der Vorwurf der Rechtsverweigerung sei unbegründet, da sich die IV-Stelle nicht geweigert habe, eine Verfügung zu erlassen (vgl. E. 4.1 hievor), ist nichts beizufügen.</w:t>
      </w:r>
    </w:p>
    <w:p>
      <w:r>
        <w:rPr>
          <w:b/>
        </w:rPr>
        <w:t>E. 5.3</w:t>
      </w:r>
    </w:p>
    <w:p>
      <w:r>
        <w:t>Was die gerügte Rechtsverzögerung anbelangt, ist Folgendes festzuhalten: Nach Art. 43 Abs. 1 ATSG prüft die IV-Stelle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 Art. 49 ATSG ; BGE 137 V 210 E. 1.2.1 S. 219). Die IV-Stelle hat folglich den medizinischen Sachverhalt mit der erforderlichen Sorgfalt zu untersuchen und zu beurteilen. Wenn sie Zweifel an der Schlüssigkeit der vorliegenden medizinischen Unterlagen hat oder diese als unvollständig erachtet, ist sie gehalten, eine fachärztliche Beurteilung der offenen Fragen anzuordnen. Die durch die Einholung eines medizinischen Gutachtens verursachte Verzögerung des Abklärungsverfahrens (im vorliegenden Fall im Rahmen einer Rentenrevision) stellt grundsätzlich keine unzulässige Rechtsverzögerung dar (Urteil 8C_210/2013 vom 10. Juli 2013 E. 3.2.1 mit Hinweis auf I 946/05 vom 11. Mai 2007 E. 5, in: SVR 2007 IV Nr. 44 S. 144). Insofern ist es der IV-Stelle unbenommen, aufgrund neuerer medizinischer Entwicklungen den Anspruch auf Leistungen der Invalidenversicherung zu überprüfen und vor Erlass der Verfügung betreffend Massnahmen zur Wiedereingliederung im Sinne von Art. 8a IVG das ABI-Gutachten abzuwarten (vgl. Urteil 8C_634/2012 vom 18. Februar 2013 E. 4.2). Entgegen der Beschwerdeführerin, welche geltend macht, die Begutachtung sei gerade keine Voraussetzung dafür, dass sie in den Genuss von Massnahmen nach Art. 8a IVG komme, gilt der Untersuchungsgrundsatz für sämtliche in Frage stehenden Leistungen ( Art. 49 ATSG ; BGE 137 V 210 E. 1.2.1 S. 219). Diese Kritik verfängt folglich nicht. Die Beschwerde ist unbegründet, soweit darauf einzutreten ist.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