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9C_366/2013 vom 2. Dezember 2013</w:t>
      </w:r>
    </w:p>
    <w:p>
      <w:r>
        <w:t>Bundesgericht, 2013-12-02, FR</w:t>
      </w:r>
    </w:p>
    <w:p>
      <w:r>
        <w:rPr>
          <w:b/>
        </w:rPr>
        <w:t xml:space="preserve">Quelle: </w:t>
      </w:r>
      <w:r>
        <w:t>https://mcp.opencaselaw.ch/entscheid/bger_9C_366_2013</w:t>
      </w:r>
    </w:p>
    <w:p>
      <w:r>
        <w:t>FR: TF 9C_366/2013 du 2 décembre 2013</w:t>
      </w:r>
    </w:p>
    <w:p>
      <w:r>
        <w:t>IT: TF 9C_366/2013 del 2 dicembre 2013</w:t>
      </w:r>
    </w:p>
    <w:p>
      <w:pPr>
        <w:pStyle w:val="Heading2"/>
      </w:pPr>
      <w:r>
        <w:t>Erwägungen</w:t>
      </w:r>
    </w:p>
    <w:p>
      <w:r>
        <w:rPr>
          <w:b/>
        </w:rPr>
        <w:t>E. 1</w:t>
      </w:r>
    </w:p>
    <w:p>
      <w:r>
        <w:t>Le Tribunal fédéral examine d'office la recevabilité des recours qui lui sont soumis ( ATF 135 III 1 consid. 1.1 p. 3; 134 V 138 consid. 1 p. 140).</w:t>
      </w:r>
    </w:p>
    <w:p>
      <w:r>
        <w:rPr>
          <w:b/>
        </w:rPr>
        <w:t>E. 1.1</w:t>
      </w:r>
    </w:p>
    <w:p>
      <w:r>
        <w:t>Le point de savoir si le jugement entrepris est susceptible d'être déféré au Tribunal fédéral selon les art. 92 s. LTF se pose en général par rapport aux décisions incidentes qui ont été rendues dans le cadre d'une procédure de recours de première instance. Ici, cependant, la qualification du jugement de l'autorité précédente comme décision incidente suit la nature juridique de l'objet de la contestation dans le procès devant le Tribunal administratif fédéral ( ATF 138 V 271 consid. 2.1 p. 277).</w:t>
      </w:r>
    </w:p>
    <w:p>
      <w:r>
        <w:rPr>
          <w:b/>
        </w:rPr>
        <w:t>E. 1.2</w:t>
      </w:r>
    </w:p>
    <w:p>
      <w:r>
        <w:t>En matière de récusation, il convient de distinguer entre les motifs formels et les motifs matériels. Les motifs de récusation qui sont énoncés dans la loi (cf. art. 10 al. 1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 ATF 132 V 93 consid. 6.5 p. 108).</w:t>
      </w:r>
    </w:p>
    <w:p>
      <w:r>
        <w:t>Les jugements cantonaux et du Tribunal administratif fédéral sur des recours contre des décisions des offices AI concernant la mise en oeuvre d'expertises médicales ne sont pas susceptibles d'être déférés au Tribunal fédéral, conformément à l' art. 93 al. 1 let. a LTF , à moins que des motifs de récusation de nature formelle aient été tranchés ( ATF 138 V 271 ). Tel est le cas en l'espèce, si bien qu'il y a lieu d'entrer en matière sur le recours.</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Compte tenu du dispositif du jugement entrepris ainsi que des conclusions et des motifs du recours, le litige porte sur la réalisation d'une expertise médicale dans le cadre d'une procédure de révision du droit du recourant à sa rente entière d'invalidité et sur l'existence de motifs de récusation concernant le docteur Hungerbühler.</w:t>
      </w:r>
    </w:p>
    <w:p>
      <w:r>
        <w:rPr>
          <w:b/>
        </w:rPr>
        <w:t>E. 4</w:t>
      </w:r>
    </w:p>
    <w:p>
      <w:r>
        <w:t>En tant qu'il porte sur la décision de l'intimé de mettre en oeuvre une expertise sur la personne du recourant, le recours est irrecevable, s'agissant d'une décision incidente qui n'est pas susceptible de lui causer un préjudice irréparable ( art. 93 al. 1 let. a LTF ).</w:t>
      </w:r>
    </w:p>
    <w:p>
      <w:r>
        <w:rPr>
          <w:b/>
        </w:rPr>
        <w:t>E. 5</w:t>
      </w:r>
    </w:p>
    <w:p>
      <w:r>
        <w:t>Le recourant estime que le Tribunal administratif fédéral a violé les règles sur la récusation en retenant que le docteur Hungerbühler présentait les garanties d'indépendance et d'impartialité requises d'un expert.</w:t>
      </w:r>
    </w:p>
    <w:p>
      <w:r>
        <w:rPr>
          <w:b/>
        </w:rPr>
        <w:t>E. 5.1</w:t>
      </w:r>
    </w:p>
    <w:p>
      <w:r>
        <w:t>Les motifs de prévention pour un expert sont identiques à ceux qui valent pour le juge ( ATF 137 V 210 consid. 2.1.3 p. 231 s.; 132 V 93 consid. 7.1 p. 109).</w:t>
      </w:r>
    </w:p>
    <w:p>
      <w:r>
        <w:t>La garantie d'un tribunal indépendant et impartial instituée par les art. 30 al. 1 Cst. et 6 par. 1 CEDH permet d'exiger la récusation d'un juge dont la situation ou le comportement est de nature à faire naître un doute sur son impartialité ( ATF 138 IV 142 consid. 2.1 p. 144; 127 I 196 consid. 2b p. 198; 126 I 68 consid. 3a p. 73).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IV 142 consid. 2.1 p. 144 s. et les arrêts cités).</w:t>
      </w:r>
    </w:p>
    <w:p>
      <w:r>
        <w:rPr>
          <w:b/>
        </w:rPr>
        <w:t>E. 5.2</w:t>
      </w:r>
    </w:p>
    <w:p>
      <w:r>
        <w:t>Le recourant invoque tout d'abord l'existence de liens d'amitié entre le professeur de Tribolet - avec qui il est actuellement en litige au plan pénal - et le docteur Hungerbühler. Cet élément fonderait objectivement un doute sur l'impartialité de ce dernier à son endroit.</w:t>
      </w:r>
    </w:p>
    <w:p>
      <w:r>
        <w:rPr>
          <w:b/>
        </w:rPr>
        <w:t>E. 5.2.1</w:t>
      </w:r>
    </w:p>
    <w:p>
      <w:r>
        <w:t>Pour entraîner la récusation, un rapport d'obligation ou de dépendance que le juge (respectivement l'expert, cf. consid. 5.1) entretient avec l'une des parties ou toute personne intéressée à la procédure doit être étroit et de nature à compromettre sa liberté de jugement (arrêt 1P.820/2006 du 6 mars 2007 consid. 5). Des sentiments d'inimitié marquée (ou d'amitié étroite) à l'égard d'une partie ou de son avocat, peuvent, en principe, justifier une demande de récusation pour apparence de prévention (arrêt 5A_756/2008 du 9 sept. 2009 consid. 2.1). En revanche, des rapports de voisinage, des études ou des obligations militaires communes ou des contacts réguliers dans un cadre professionnel ne suffisent en principe pas (Jacques Olivier Piguet, Le choix de l'expert et sa récusation, HAVE/REAS 2/2011 p. 132; Benjamin Schindler, Die Befangenheit der Verwaltung, 2002, p. 112).</w:t>
      </w:r>
    </w:p>
    <w:p>
      <w:r>
        <w:rPr>
          <w:b/>
        </w:rPr>
        <w:t>E. 5.2.2</w:t>
      </w:r>
    </w:p>
    <w:p>
      <w:r>
        <w:t>La question de savoir si la rente d'invalidité du recourant doit être maintenue, réduite ou supprimée - objet de la procédure de révision initiée en février 2011 par l'intimé - est sans influence sur l'issue des litiges opposant le recourant au professeur de Tribolet, ceux-ci concernant aux dires de l'intéressé des erreurs médicales qu'il reproche à ce médecin (cf. mémoire de recours, p. 5 point 2). Ce dernier ne peut donc pas être considéré comme une personne intéressée à ladite procédure. Le recourant n'avance en outre aucun élément laissant supposer l'existence de rapports d'amitié étroite entre le professeur de Tribolet et le docteur Hungerbühler. Quant à son affirmation selon laquelle "il existe un réflexe de solidarité entre médecins, lorsqu'ils se connaissent bien, voulant que lorsqu'un confrère est attaqué par un patient, le confrère et ami de ce praticien cherche à voler à son secours et à l'appuyer" (mémoire de recours p. 5 point 2), elle ne constitue pas un motif pertinent qui justifierait une modification de la jurisprudence précitée (supra 5.2.1; sur les conditions d'un changement de jurisprudence, voir ATF 133 V 37 consid. 5.3.3. p. 39; 132 V 357 consid. 3.2.4.1 p. 360 et les références).</w:t>
      </w:r>
    </w:p>
    <w:p>
      <w:r>
        <w:rPr>
          <w:b/>
        </w:rPr>
        <w:t>E. 5.3</w:t>
      </w:r>
    </w:p>
    <w:p>
      <w:r>
        <w:t>Le recourant affirme ensuite que l'intimé confie un grand nombre d'expertises au docteur Hungerbühler - ce que le Tribunal administratif fédéral l'aurait empêché d'établir, en violation de son droit d'être entendu - et que cela entraîne un lien de dépendance économique de ce médecin vis-à-vis de l'administration mettant en doute son impartialité.</w:t>
      </w:r>
    </w:p>
    <w:p>
      <w:r>
        <w:t>Cette argumentation ne saurait être suivie. De jurisprudence constante, le fait qu'un expert, médecin indépendant, ou une institution d'expertises sont régulièrement mandatés par un organe de l'assurance sociale, le nombre d'expertises ou de rapports confiés à l'expert, ainsi que l'étendue des honoraires en résultant ne constituent effectivement pas à eux seuls des motifs suffisants pour conclure au manque d'objectivité et à la partialité de l'expert ( ATF 137 V 210 consid. 1.3.3 p. 226 et les arrêts cités). Aussi, est-ce à juste titre que le Tribunal administratif fédéral n'a pas donné suite à la requête de renseignements présentée par le recourant sur le nombre de mandats d'expertise confiés par l'office AI au docteur Hungerbühler, cet élément ne constituant pas une preuve pertinente pour établir les faits relatifs à la récusation.</w:t>
      </w:r>
    </w:p>
    <w:p>
      <w:r>
        <w:rPr>
          <w:b/>
        </w:rPr>
        <w:t>E. 5.4</w:t>
      </w:r>
    </w:p>
    <w:p>
      <w:r>
        <w:t>Il suit de ce qui précède que le recourant ne démontre pas l'existence de circonstances objectives de nature à compromettre la liberté de jugement de l'expert désigné par l'intimé.</w:t>
      </w:r>
    </w:p>
    <w:p>
      <w:r>
        <w:rPr>
          <w:b/>
        </w:rPr>
        <w:t>E. 6</w:t>
      </w:r>
    </w:p>
    <w:p>
      <w:r>
        <w:t>Enfin, quoi qu'en dise le recourant en se référant à l'arrêt publié aux ATF 137 V 210 , aucune norme ou principe juridique autre que ceux examinés plus haut n'obligeait l'intimé à envisager le choix d'un autre neurologue que le docteur Hungerbühler - singulièrement d'un de ceux cités dans son courrier du 21 novembre 2011 - pour réaliser une expertise.</w:t>
      </w:r>
    </w:p>
    <w:p>
      <w:r>
        <w:rPr>
          <w:b/>
        </w:rPr>
        <w:t>E. 7</w:t>
      </w:r>
    </w:p>
    <w:p>
      <w:r>
        <w:t>Compte tenu de ce qui précède, le recours est mal fondé.</w:t>
      </w:r>
    </w:p>
    <w:p>
      <w:r>
        <w:t>Vu l'issue du litige, les frais judiciaires seront supportés par le recourant qui succombe ( art. 66 al. 1 LTF ). L'intimé, en tant qu'organisme chargé de tâches de droit public, ne saurait se voir allouer des dépens même s'il obtient gain de cause ( art. 68 al. 3 LTF ; ATF 128 V 124 consid. 5b p. 133; arrêt 9C_804/2010 du 20 décembre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