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9C_365/2019 vom 19. Juli 2019</w:t>
      </w:r>
    </w:p>
    <w:p>
      <w:r>
        <w:t>Bundesgericht, 2019-07-19, FR</w:t>
      </w:r>
    </w:p>
    <w:p>
      <w:r>
        <w:rPr>
          <w:b/>
        </w:rPr>
        <w:t xml:space="preserve">Quelle: </w:t>
      </w:r>
      <w:r>
        <w:t>https://mcp.opencaselaw.ch/entscheid/bger_9C_365_2019</w:t>
      </w:r>
    </w:p>
    <w:p>
      <w:r>
        <w:t>FR: TF 9C_365/2019 du 19 juillet 2019</w:t>
      </w:r>
    </w:p>
    <w:p>
      <w:r>
        <w:t>IT: TF 9C_365/2019 del 19 luglio 2019</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conclusions et motifs du recours, le litige porte exclusivement sur la suppression par la voie de la révision du droit du recourant à une rente entière de l'assurance-invalidité à compter du 4 octobre 2016. A cet égard, les premiers juges ont, en se fondant sur la décision du 26 avril 2017, exposé de manière complète les règles légales et les principes jurisprudentiels applicables à la notion d'invalidité, à son évaluation et aux conditions pour procéder à la révision du droit à des prestations. Il suffit d'y renvoyer.</w:t>
      </w:r>
    </w:p>
    <w:p>
      <w:r>
        <w:rPr>
          <w:b/>
        </w:rPr>
        <w:t>E. 3.1</w:t>
      </w:r>
    </w:p>
    <w:p>
      <w:r>
        <w:t>Le recourant reproche à la juridiction cantonale d'avoir procédé à une constatation manifestement inexacte des faits pertinents consécutive à une mauvaise appréciation des preuves et, partant, d'avoir violé le droit fédéral, en accordant pleine valeur probante aux conclusions du docteur F.________. Il soutient en substance que les premiers juges n'ont pas mis en oeuvre les mesures d'instruction nécessaires pour élucider les contradictions "criantes" entre cette expertise psychiatrique et les avis des médecins qui s'étaient succédé ces quinze dernières années et qui avaient fait état d'une pathologie psychiatrique sévère invalidante.</w:t>
      </w:r>
    </w:p>
    <w:p>
      <w:r>
        <w:rPr>
          <w:b/>
        </w:rPr>
        <w:t>E. 3.2</w:t>
      </w:r>
    </w:p>
    <w:p>
      <w:r>
        <w:t>Le recourant n'établit en l'occurrence pas, par une argumentation précise et étayée, que les conclusions médicales des docteurs B.________ et D.________, voire celles des médecins de l'Hôpital E.________, seraient objectivement mieux fondées que celles de l'expert psychiatre ou justifieraient, à tout le moins, la mise en oeuvre d'une mesure d'instruction complémentaire. En présence d'un tableau clinique complexe, difficile à appréhender en raison des signes de discordances manifestes entre les plaintes rapportées et les éléments objectifs constatés, les conclusions médicales suivies par les premiers juges ne sauraient en particulier être mises en cause du simple fait qu'elles ne concordent pas avec les attentes du recourant ou les conclusions des médecins traitants. Le docteur F.________ a par ailleurs soigneusement exposé les motifs pour lesquels il s'écartait - en présence d'une attitude démonstrative et théâtrale du recourant - des conclusions des médecins qui s'étaient succédé ces dernières années, y compris celles des psychiatres de l'hôpital C.________. Il n'appartient pour le reste pas au Tribunal fédéral de rechercher dans les actes du dossier les éléments propres à fonder l'arbitraire des constatations des premiers juges, à supposer qu'ils s'y trouvent. Il n'y a dès lors pas lieu de s'écarter de l'appréciation des preuves opérée par la juridiction cantonale.</w:t>
      </w:r>
    </w:p>
    <w:p>
      <w:r>
        <w:rPr>
          <w:b/>
        </w:rPr>
        <w:t>E. 4</w:t>
      </w:r>
    </w:p>
    <w:p>
      <w:r>
        <w:t>Il n'y a pas matière à examiner la suite de l'argumentation du recourant portant sur la suppression de son droit à une rente d'invalidité dès le 4 octobre 2016 (date de l'examen clinique mené par le docteur F.________) et qui repose sur la seule prémisse que son état de santé et sa capacité de travail ne s'étaient pas améliorés à cette date.</w:t>
      </w:r>
    </w:p>
    <w:p>
      <w:r>
        <w:rPr>
          <w:b/>
        </w:rPr>
        <w:t>E. 5</w:t>
      </w:r>
    </w:p>
    <w:p>
      <w:r>
        <w:t>Mal fondé, le recours doit être rejeté en application de la procédure simplifiée de l' art. 109 al. 2 let. a LTF . 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