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9C_365/2017 vom 30. Juni 2017</w:t>
      </w:r>
    </w:p>
    <w:p>
      <w:r>
        <w:t>Bundesgericht, 2017-06-30, DE</w:t>
      </w:r>
    </w:p>
    <w:p>
      <w:r>
        <w:rPr>
          <w:b/>
        </w:rPr>
        <w:t xml:space="preserve">Quelle: </w:t>
      </w:r>
      <w:r>
        <w:t>https://mcp.opencaselaw.ch/entscheid/bger_9C_365_2017</w:t>
      </w:r>
    </w:p>
    <w:p>
      <w:r>
        <w:t>FR: TF 9C_365/2017 du 30 juin 2017</w:t>
      </w:r>
    </w:p>
    <w:p>
      <w:r>
        <w:t>IT: TF 9C_365/2017 del 30 giugno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zutreffend festgehalten, dass Anspruch auf Invalidenleistungen nach Art. 23 lit. a BVG Personen haben, die im Sinne der Invalidenversicherung zu mindestens 40 % invalid sind und bei Eintritt der Arbeitsunfähigkeit, deren Ursache zur Invalidität geführt hat, versichert waren. Richtig ist auch, dass Invalidenleistungen der obligatorischen beruflichen Vorsorge von derjenigen Vorsorgeeinrichtung geschuldet werden, welcher der Ansprecher bei Eintritt der Arbeitsunfähigkeit, deren Ursache zur Invalidität geführt hat, angeschlossen war ( Art. 23 lit. a BVG ). Ferner hat das kantonale Gericht die Rechtsprechung zur grundsätzlichen Verbindlichkeit der Feststellungen der Invalidenversicherung hinsichtlich des Eintritts der invalidisierenden Arbeitsunfähigkeit, der Eröffnung der Wartezeit und der Festsetzung des Invaliditätsgrades für die obligatorische berufliche Vorsorge korrekt wiedergegeben ( BGE 126 V 308 E. 1 S. 310 f., 132 V 1 E. 3.2 S. 4).</w:t>
      </w:r>
    </w:p>
    <w:p>
      <w:r>
        <w:t>Wie das kantonale Gericht des Weiteren dargelegt hat, setzt die Bindungswirkung voraus, dass die Vorsorgeeinrichtung spätestens im Vorbescheidverfahren einbezogen und ihr die Rentenverfügung formgültig eröffnet wurde. Die Vorsorgeeinrichtungen sind im Bereich der gesetzlichen Mindestvorsorge ( Art. 6 BVG ) an die Feststellungen der Organe der Invalidenversicherung, insbesondere hinsichtlich des Eintritts der invalidisierenden Arbeitsunfähigkeit (Eröffnung der Wartezeit; Art. 29 Abs. 1 lit. b IVG in der bis 31. Dezember 2007 gültig gewesenen Fassung [ Art. 28 Abs. 1 lit. b IVG in der seit 1. Januar 2008 in Kraft stehenden Fassung] in Verbindung mit Art. 26 Abs. 1 BVG ), gebunden, soweit die invalidenversicherungsrechtliche Betrachtungsweise aufgrund einer gesamthaften Prüfung der Akten nicht als offensichtlich unhaltbar erscheint ( BGE 130 V 270 E. 3.1 S. 273 mit Hinweis). Darauf wird verwiesen.</w:t>
      </w:r>
    </w:p>
    <w:p>
      <w:r>
        <w:rPr>
          <w:b/>
        </w:rPr>
        <w:t>E. 3.1</w:t>
      </w:r>
    </w:p>
    <w:p>
      <w:r>
        <w:t>Der Beschwerdeführer war bei der Beschwerdegegnerin vom 1. August 2001 bis 30. April 2005 für die berufliche Vorsorge versichert. Die IV-Stelle setzte den Beginn der Wartezeit in ihren Rentenverfügungen (vom 16. Oktober und 4. November 2008) auf den 1. Mai 2006 fest und richtete die Invalidenrente ab 1. Mai 2007 aus. Nach den verbindlichen Darlegungen der Vorinstanz (E. 1 hievor) ist die Festlegung der Eröffnung der Wartezeit auf den 1. Mai 2006 nicht offensichtlich unhaltbar.</w:t>
      </w:r>
    </w:p>
    <w:p>
      <w:r>
        <w:rPr>
          <w:b/>
        </w:rPr>
        <w:t>E. 3.2</w:t>
      </w:r>
    </w:p>
    <w:p>
      <w:r>
        <w:t>In der Beschwerde bringt der Versicherte keine Einwendungen vor, die zu einer abweichenden Beurteilung zu führen vermöchten. Dies angesichts der doppelten Verbindlichkeit des vorinstanzlichen Entscheids hinsichtlich des massgebenden Zeitpunkts der Eröffnung der invalidenversicherungsrechtlichen Wartezeit (vgl. dazu Urteil 9C_744/2015 vom 26. April 2016 E. 4.1) - einerseits formell als Tatfrage infolge der eingeschränkten Überprüfungsbefugnis des Bundesgerichts (E. 1 hievor), andererseits materiell aufgrund der Rechtsprechung zur Verbindlichkeit der Feststellungen der IV-Stelle für die Einrichtungen der beruflichen Vorsorge im Bereich der obligatorischen Vorsorge ( BGE 134 V 64 E. 4.1.2 S. 70, 133 V 67 E. 4.3.2 S. 69, 133 V 270 E. 3.1 S. 273). Die Tatsache, dass der Beschwerdeführer an einer seltenen Krankheit leidet, ist unbestritten, mit Bezug auf den Zeitpunkt der Eröffnung der Wartezeit jedoch nicht ausschlaggebend. Dass im Falle einer Schubkrankheit hinsichtlich des zeitlichen Konnexes zwischen Arbeitsunfähigkeit und Invalidität gegebenenfalls ein weniger strenger Massstab anzuwenden ist als bei anderen Krankheiten, vermag weder als solches noch im vorliegenden Fall zu einem anderen Ergebnis zuführen. Der zeitliche Zusammenhang wurde in Bezug auf den Invalidenrentenanspruch gegenüber der Stiftung Auffangeinrichtung BVG bejaht, würde diese doch andernfalls nicht ab 1. Mai 2007 eine ganze Invalidenrente aus der beruflichen Vorsorge in der Höhe von Fr. 18'278.- im Jahr ausrichten. Auch der Umstand, dass die Krankentaggeldversicherung ab 30. Juli 2006 Leistungen erbracht hat, lässt nicht auf eine Eröffnung der Wartezeit vor dem 1. Mai 2006 schliessen.</w:t>
      </w:r>
    </w:p>
    <w:p>
      <w:r>
        <w:t>Die übrigen Einwendungen in der Beschwerde erschöpfen sich in einer Kritik an der Würdigung des Sachverhalts durch die Vorinstanz und einer Wiedergabe von Arztberichten. Weder hat sich das kantonale Gericht eine offensichtlich unrichtige Feststellung des rechtserheblichen Sachverhalts noch eine anderweitige Bundesrechtsverletzung vorwerfen zu lassen (vgl. E. 1 hievor), woran die beschwerdeweise vorgetragenen Ausführungen nichts ändern.</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