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361/2015 vom 17. Juli 2015</w:t>
      </w:r>
    </w:p>
    <w:p>
      <w:r>
        <w:t>Bundesgericht, 2015-07-17, FR</w:t>
      </w:r>
    </w:p>
    <w:p>
      <w:r>
        <w:rPr>
          <w:b/>
        </w:rPr>
        <w:t xml:space="preserve">Quelle: </w:t>
      </w:r>
      <w:r>
        <w:t>https://mcp.opencaselaw.ch/entscheid/bger_9C_361_2015</w:t>
      </w:r>
    </w:p>
    <w:p>
      <w:r>
        <w:t>FR: TF 9C 361/2015 du 17 juillet 2015</w:t>
      </w:r>
    </w:p>
    <w:p>
      <w:r>
        <w:t>IT: TF 9C 361/2015 del 17 luglio 2015</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litige porte sur la suppression du droit de la recourante à une rente d'invalidité au 1 er mars 2013.</w:t>
      </w:r>
    </w:p>
    <w:p>
      <w:r>
        <w:rPr>
          <w:b/>
        </w:rPr>
        <w:t>E. 3</w:t>
      </w:r>
    </w:p>
    <w:p>
      <w:r>
        <w:t>En procédure cantonale, la recourante avait soutenu que l'office intimé n'était pas en droit de supprimer la rente, à défaut d'avoir prouvé au degré de la vraisemblance prépondérante que cette prestation avait été allouée en juillet 1999 principalement en raison d'un trouble somatoforme douloureux, soit d'une maladie équivalente à un syndrome sans pathogénèse ni étiologie claires. La juridiction cantonale a considéré que l'office AI avait alloué la rente, à l'époque, dans une large mesure en raison d'un état dépressif; elle a ajouté que le diagnostic de trouble somatoforme douloureux avait également joué un rôle dans l'appréciation de l'incapacité de travail, les deux atteintes à la santé étant étroitement liées (consid. 4a du jugement attaqué). Examinant ensuite l'évolution de l'état de santé entre la date de la décision d'octroi initial de la rente (26 juillet 1999) et celle de sa suppression (16 janvier 2013), les premiers juges ont constaté, sur la base du rapport du docteur D.________ du 9 juillet 2012, que l'état dépressif avait fait place à une dysthymie n'entraînant aucune incapacité de travail, si bien qu'une révision ordinaire de la rente, en vertu de l' art. 17 LPGA , était justifiée. Dans ce contexte, les juges cantonaux ont admis que la recourante présentait encore le syndrome sans pathogénèse ni étiologie claires qui avaient fondé, avec l'état dépressif, l'octroi initial de la rente. Rien ne s'opposait ainsi à l'application des dispositions finales de la 6 ème révision de la LAI pour examiner si le trouble somatoforme douloureux (ou la fibromyalgie, suivant les avis médicaux versés au dossier) justifiait encore le droit à la rente, au regard des critères jurisprudentiels. Dans le cas d'espèce, les premiers juges ont admis que le constat d'une pleine capacité de travail dans une activité professionnelle adaptée, par les docteurs C.________ et D.________, ne prêtait pas le flanc à la critique, de sorte que l'office AI avait supprimé la rente à juste titre (consid. 4c du jugement entrepris).</w:t>
      </w:r>
    </w:p>
    <w:p>
      <w:r>
        <w:rPr>
          <w:b/>
        </w:rPr>
        <w:t>E. 4</w:t>
      </w:r>
    </w:p>
    <w:p>
      <w:r>
        <w:t>Dans un grief d'ordre formel qu'il convient d'examiner en premier lieu, la recourante se plaint d'une violation du principe de l'égalité des armes (art. 6 § 1 CEDH ). Elle observe que la juridiction cantonale a fait porter son jugement sur la question de l'application de l' art. 17 LPGA , alors que ce point n'a jamais été débattu par les parties, ni au stade de la décision administrative ni devant le juge des assurances sociales. Elle soutient que si elle avait pu discuter d'une question devenue déterminante, elle aurait fait remarquer à la Cour des assurances sociales que le rapport du docteur D.________ du 9 juillet 2012 ne documentait en rien une amélioration notable de son état de santé psychique intervenue après le 26 juillet 1999, cet avis médical parlant au contraire d'une capacité de travail à 100 % depuis le 1 er janvier 1999. Afin de respecter le principe contradictoire, la recourante demande que la cause soit renvoyée aux premiers juges, afin que les parties puissent s'exprimer sur une question que le tribunal cantonal a jugé déterminante pour l'issue de la cause, mais qu'il ne leur a pas laissé discuter. A titre subsidiaire, la recourante se prévaut d'une mauvaise application de l' art. 17 LPGA . Singulièrement, elle relève que le docteur D.________ n'a jamais parlé d'une amélioration de son état de santé psychique, mais que ce médecin a fait part de son désaccord avec ses confrères psychiatres.</w:t>
      </w:r>
    </w:p>
    <w:p>
      <w:r>
        <w:rPr>
          <w:b/>
        </w:rPr>
        <w:t>E. 5.1</w:t>
      </w:r>
    </w:p>
    <w:p>
      <w:r>
        <w:t>Le grief principal de la recourante, la violation du principe de l'égalité des armes, équivaut, telle qu'elle l'invoque, à celui de la violation de son droit d'être entendue, garanti par l' art. 29 al. 2 Cst. La jurisprudence a déduit du droit d'être entendu ( art. 29 al. 2 Cst. ), en particulier, le droit pour le justiciable de s'expliquer avant qu'une décision ne soit prise à son détriment et celui de fournir des preuves quant aux faits de nature à influer sur le sort de la décision ( ATF 140 I 285 consid. 6.3.1 p. 299, 135 I 279 consid. 2.3 p. 282; 135 II 286 consid. 5.1 p. 293; 132 V 368 consid. 3.1 p. 370).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 ATF 128 V 272 consid. 5b/bb p. 278 et les références). Dans le contexte d'une reconsidération au sens de l' art. 53 al. 2 LPGA , qui est possible en tout temps (dans les limites de l' art. 53 al. 3 LPGA ), soit également au stade de la procédure judiciaire au terme de laquelle le tribunal peut confirmer par substitution de motif la suppression de la rente prononcée sur la base d'une révision au sens de l' art. 17 al. 1 LPGA ( ATF 125 V 368 consid. 2 p. 369; arrêt 9C_11/2008 du 29 avril 2008 consid. 2), la garantie du droit d'être entendu de l'assuré exige que celui-ci soit informé préalablement de la substitution de motif envisagée ( ATF 125 V 368 consid. 4a et b p. 370; cf. aussi ATF 128 V 272 consid. 5b/bb p. 278).</w:t>
      </w:r>
    </w:p>
    <w:p>
      <w:r>
        <w:rPr>
          <w:b/>
        </w:rPr>
        <w:t>E. 5.2</w:t>
      </w:r>
    </w:p>
    <w:p>
      <w:r>
        <w:t>La substitution de motifs effectuée par la juridiction cantonale, qui fonde le rejet du recours, soit la suppression de la rente d'invalidité, sur l' art. 17 LPGA , en sus de la let. a, al. 1, des Dispositions finales de la modification du 18 mars 2011 de la LAI (6 ème révision, premier volet), est admissible, dès lors que la révision selon l' art. 17 LPGA et l'examen de la rente selon la disposition finale (de même que la reconsidération selon l' art. 53 al. 2 LPGA ) constituent différentes motivations juridiques portant sur l'objet du litige qui a trait à la modification du droit à la rente d'invalidité de la recourante. Toutefois, comme lorsqu'il s'agit d'une substitution de motifs effectuée en relation avec la révision ( art. 17 LPGA ) et la reconsidération ( art. 53 al. 2 LPGA ), la juridiction cantonale qui entend y procéder en remplaçant ou en complétant sa motivation fondée sur la let. a, al. 1, des Dispositions finales de la modification du 18 mars 2011 de la LAI (6 ème révision, premier volet) par celle relative à la révision du droit à la rente est tenue d'en avertir les parties, lorsque la contestation n'a pas été examinée sous cet angle en procédure administrative. Les faits fondant une révision au sens de l' art. 17 LPGA , et donc l'argumentation juridique y relative, ne sont en effet pas identiques à ceux à la base d'un nouvel examen du droit à la rente en vertu de la let. a, al. 1, des Dispositions finales. Cette disposition permet de revoir la prétention de l'assuré sans vérifier l'existence d'un changement dans les circonstances personnelles de l'assuré, relatives à son état de santé ou à des facteurs économiques, qui entraîne une modification notable du degré d'invalidité, comme l'exige l' art. 17 LPGA ( ATF 133 V 545 consid. 6.1 p. 546 et 7.1 p. 548). Dans ces conditions, il se justifie de renvoyer la cause à la juridiction cantonale pour qu'elle statue à nouveau en respectant le droit de la recourante d'être entendue. Le second grief de la recourante, tiré d'une application erronée de l' art. 17 LPGA et invoqué à titre subsidiaire, n'a donc pas à être examiné.</w:t>
      </w:r>
    </w:p>
    <w:p>
      <w:r>
        <w:rPr>
          <w:b/>
        </w:rPr>
        <w:t>E. 6</w:t>
      </w:r>
    </w:p>
    <w:p>
      <w:r>
        <w:t>L'intimé, qui succombe, supportera les frais de la procédure ( art. 66 al. 1 LTF ). Pour le même motif, il est redevable d'une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