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9C_360/2007 vom 30. August 2007</w:t>
      </w:r>
    </w:p>
    <w:p>
      <w:r>
        <w:t>Bundesgericht, 2007-08-30, DE</w:t>
      </w:r>
    </w:p>
    <w:p>
      <w:r>
        <w:rPr>
          <w:b/>
        </w:rPr>
        <w:t xml:space="preserve">Quelle: </w:t>
      </w:r>
      <w:r>
        <w:t>https://mcp.opencaselaw.ch/entscheid/bger_9C_360_2007</w:t>
      </w:r>
    </w:p>
    <w:p>
      <w:r>
        <w:t>FR: TF 9C_360/2007 du 30 août 2007</w:t>
      </w:r>
    </w:p>
    <w:p>
      <w:r>
        <w:t>IT: TF 9C_360/2007 del 30 agosto 2007</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w:t>
      </w:r>
    </w:p>
    <w:p>
      <w:r>
        <w:rPr>
          <w:b/>
        </w:rPr>
        <w:t>E. 2</w:t>
      </w:r>
    </w:p>
    <w:p>
      <w:r>
        <w:t>Vorinstanz und Verwaltung haben in materiell- und beweisrechtlicher Hinsicht die für die Beurteilung des Leistungsanspruchs massgeblichen Grundlagen sowie die diesbezügliche Rechtsprechung zutreffend dargelegt. Darauf wird verwiesen.</w:t>
      </w:r>
    </w:p>
    <w:p>
      <w:r>
        <w:rPr>
          <w:b/>
        </w:rPr>
        <w:t>E. 3</w:t>
      </w:r>
    </w:p>
    <w:p>
      <w:r>
        <w:t>Das kantonale Gericht hat erkannt, dass die Versicherte trotz ihrer gesundheitlichen Beeinträchtigung den rentenbegründenden Invaliditätsgrad von 40 % nicht erreichte. Es hat die Gründe, die zur Abweisung der Beschwerde geführt haben, im angefochtenen Entscheid unter einlässlicher Würdigung der gesamten medizinischen Aktenlage dargelegt und namentlich gestützt auf die Expertisen der Fachärzte der X.________ GmbH vom 12. September 2003 (Administrativgutachten) und 25. September 2006 (ergänzendes Gerichtsgutachten) festgestellt, es sei insgesamt erstellt, dass die Beschwerdeführerin (zumindest) im Umfang von 75 % einer adaptierten Tätigkeit nachgehen könne; dabei sei davon auszugehen, dass die depressive Störung bzw. die anhaltende somatoforme Schmerzstörung nicht in einem invalidisierenden Umfang vorhanden seien und die Beschwerdeführerin über genügend Ressourcen verfüge, um mit der Störung zurecht zu kommen. Dies sind Sachverhaltsfeststellungen, welche für das Bundesgericht verbindlich sind, ausser wenn sie offensichtlich unrichtig oder unvollständig sind, was hier jedoch entgegen der an den Gutachten des Instituts geübten Kritik nicht zutrifft. Von unvollständiger Tatsachenfeststellung, die nach Art. 105 Abs. 2 BGG als Rechtsverletzung gilt, kann nur gesprochen werden, wenn bezüglich einer rechtserheblichen Tatsache (z.B. hinsichtlich des Gesundheitsschadens, des funktionellen Leistungsvermögens, der verfügbaren psychischen Ressourcen, der medizinisch zumutbaren restlichen Arbeitsfähigkeit etc.) keine gerichtliche Feststellung getroffen worden ist. Dies ist hier nicht der Fall. Im angefochtenen Entscheid ist sodann der rentenrelevante Sachverhalt, namentlich die zumutbare Arbeitsfähigkeit, weder offensichtlich unrichtig noch rechtsverletzend festgestellt, sodass er für die angerufene Instanz verbindlich bleibt. Was den letztinstanzlich eingelegten Bericht der Klinik für Psychiatrie und Psychotherapie Y.________ vom 4. Juni 2007 über den aktuellen Gesundheitszustand der Beschwerdeführerin betrifft, bleibt anzumerken, dass für die Beurteilung in zeitlicher Hinsicht der Sachverhalt massgebend ist, wie er sich bis zum Einspracheentscheid vom 19. Oktober 2005 entwickelt hat; die anlässlich der Behandlung während der Monate Februar und März 2007 in der genannten Klinik erhobenen Befunde, Diagnosen und die angeordneten Behandlungsmassnahmen sind darum nicht zu berücksichtigen und auch nicht zu erörtern. Der angefochtene Entscheid verletzt Bundesrecht nicht.</w:t>
      </w:r>
    </w:p>
    <w:p>
      <w:r>
        <w:rPr>
          <w:b/>
        </w:rPr>
        <w:t>E. 4</w:t>
      </w:r>
    </w:p>
    <w:p>
      <w:r>
        <w:t>Die Beschwerde ist offensichtlich unbegründet und im Verfahren nach Art. 109 BGG zu erledigen. 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