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356/2011 vom 3. Februar 2012</w:t>
      </w:r>
    </w:p>
    <w:p>
      <w:r>
        <w:t>Bundesgericht, 2012-02-03, DE</w:t>
      </w:r>
    </w:p>
    <w:p>
      <w:r>
        <w:rPr>
          <w:b/>
        </w:rPr>
        <w:t xml:space="preserve">Quelle: </w:t>
      </w:r>
      <w:r>
        <w:t>https://mcp.opencaselaw.ch/entscheid/bger_9C_356_2011</w:t>
      </w:r>
    </w:p>
    <w:p>
      <w:r>
        <w:t>FR: TF 9C 356/2011 du 3 février 2012</w:t>
      </w:r>
    </w:p>
    <w:p>
      <w:r>
        <w:t>IT: TF 9C 356/2011 del 3 febbraio 2012</w:t>
      </w:r>
    </w:p>
    <w:p>
      <w:pPr>
        <w:pStyle w:val="Heading2"/>
      </w:pPr>
      <w:r>
        <w:t>Regeste</w:t>
      </w:r>
    </w:p>
    <w:p>
      <w:r>
        <w:t>Invalidenversicherung (Verwaltungsverfahren)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Vorab ist gerügt, die Beschwerdegegnerin habe die Aufhebung der Rente ohne die Durchführung des Vorbescheidverfahrens verfügt. Die Durchführung eines Mahn- und Bedenkzeitverfahrens ersetze das Vorbescheidverfahren nicht, da hier nicht über eine vorübergehende Sistierung sondern eine definitive Einstellung der Rente verfügt worden sei. Zudem sei das im Rahmen des Mahn- und Bedenkzeitverfahrens ergangene Schreiben vom 16. November 2010 mit widersprüchlichen und unklaren Androhungen versehen gewesen.</w:t>
      </w:r>
    </w:p>
    <w:p>
      <w:r>
        <w:rPr>
          <w:b/>
        </w:rPr>
        <w:t>E. 3.1</w:t>
      </w:r>
    </w:p>
    <w:p>
      <w:r>
        <w:t>Gemäss Art. 57a IVG teilt die IV-Stelle der versicherten Person den vorgesehenen Endentscheid über ein Leistungsbegehren oder den Entzug oder die Herabsetzung einer bisher gewährten Leistung mittels Vorbescheid mit. Die Parteien haben nach Art. 29 Abs. 2 BV und Art. 42 Satz 1 ATSG Anspruch auf rechtliches Gehör; sie müssen nicht angehört werden vor Verfügungen, die durch Einsprache anfechtbar sind ( Art. 42 Satz 2 ATSG ; BGE 134 V 97 E. 2.8.1 S. 106).</w:t>
      </w:r>
    </w:p>
    <w:p>
      <w:r>
        <w:rPr>
          <w:b/>
        </w:rPr>
        <w:t>E. 3.2</w:t>
      </w:r>
    </w:p>
    <w:p>
      <w:r>
        <w:t>Art. 58 IVG regelt die Leistungszusprache im formlosen Verfahren. Gestützt auf diese Norm ist in Art. 74ter IVV festgelegt, dass die dort aufgeführten Leistungen ohne Erlass eines Vorbescheides oder einer Verfügung zugesprochen oder weiter ausgerichtet werden können, sofern die Anspruchsvoraussetzungen offensichtlich erfüllt sind und den Begehren der versicherten Person vollumfänglich entsprochen wird. Die Beschwerdeführerin schliesst daraus e contrario, dass bei Verweigerung bzw. Einstellung und Aufhebung von Leistungen der Erlass eines Vorbescheides vorgeschrieben ist.</w:t>
      </w:r>
    </w:p>
    <w:p>
      <w:r>
        <w:rPr>
          <w:b/>
        </w:rPr>
        <w:t>E. 3.3</w:t>
      </w:r>
    </w:p>
    <w:p>
      <w:r>
        <w:t>Von den in Art. 74ter lit. a-f IVV geregelten Leistungsbereichen mit formlosen Verfahren ist hier der Tatbestand gemäss lit. f einschlägig: Renten und Hilflosenentschädigungen können nach einer von Amtes wegen durchgeführten Revision weiter ausgerichtet werden, sofern die Anspruchsvoraussetzungen offensichtlich erfüllt sind und den Begehren der versicherten Person vollumfänglich entsprochen wird. Wird demnach im Rahmen einer Leistungsrevision eine sich zu Ungunsten der versicherten Person auswirkende Änderung der Verhältnisse festgestellt, ist die Voraussetzung für den Verzicht auf ein Vorbescheidverfahren grundsätzlich nicht gegeben. Die Beschwerdegegnerin konnte nicht davon ausgehen, mit der Aufhebung der seit 1994 ausgerichteten ganzen Rente den Begehren der Beschwerdeführerin vollumfänglich zu entsprechen.</w:t>
      </w:r>
    </w:p>
    <w:p>
      <w:r>
        <w:rPr>
          <w:b/>
        </w:rPr>
        <w:t>E. 3.4</w:t>
      </w:r>
    </w:p>
    <w:p>
      <w:r>
        <w:t>Ein Verzicht auf das Vorbescheidverfahren war hier aber primär nicht statthaft, weil die Rentenaufhebungsverfügung ohne Einsprache-verfahren direkt gerichtlich anzufechten war. Die Beschwerdegegnerin hat vor Erlass der Verfügung lediglich angedroht, die Rente für die Dauer der Widersetzlichkeit zu sistieren. Von der verfügten und vorinstanzlich ausdrücklich geschützten Rentenaufhebung war nie die Rede. Vor Erlass der leistungsaufhebenden Verfügung hätte zu einem entsprechenden Vorbescheid das rechtliche Gehör gewährt werden müssen. Es ist nur sehr zurückhaltend anzunehmen, dass bei Unterlassung des Vorbescheidverfahrens eine Heilung der Gehörsverletzung im Beschwerdeverfahren möglich ist ( BGE 134 V 97 E. 2.9.2 S. 108 f. mit zahlreichen Hinweisen; zum vorliegenden Sachverhalt insbesondere auch BGE 116 V 182 E. 3c S. 187). Es kann nur in speziell gelagerten Ausnahmefällen auf das Vorbescheid-verfahren verzichtet werden (vgl. BGE 134 V 97 E. 2.8.2 und 2.9.1 S. 107 f. mit Hinweisen). Ein solcher Ausnahmefall war hier nicht gegeben.</w:t>
      </w:r>
    </w:p>
    <w:p>
      <w:r>
        <w:rPr>
          <w:b/>
        </w:rPr>
        <w:t>E. 4</w:t>
      </w:r>
    </w:p>
    <w:p>
      <w:r>
        <w:t>Da die rentenaufhebende Verfügung ohne Durchführung des Vorbescheidverfahrens erging und die Verletzung des rechtlichen Gehörs vor dem kantonalen Gericht nicht geheilt worden ist, sind die Verfügung und der vorinstanzliche Entscheid schon aus diesem Grund aufzuheben. Die Beschwerdegegnerin wird nach Durchführung eines rechtsgültigen Abklärungs- und Verfügungsverfahrens über den Rentenanspruch unter allen, je nach Entwicklung in Betracht fallenden Rechtstiteln (inkl. Art. 21 Abs. 4 ATSG ) neu verfügen.</w:t>
      </w:r>
    </w:p>
    <w:p>
      <w:r>
        <w:rPr>
          <w:b/>
        </w:rPr>
        <w:t>E. 5</w:t>
      </w:r>
    </w:p>
    <w:p>
      <w:r>
        <w:t>Die Gerichtskosten werden der Beschwerdegegnerin als unterliegender Partei auferlegt ( Art. 66 Abs.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