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9C_356/2007 vom 25. September 2007</w:t>
      </w:r>
    </w:p>
    <w:p>
      <w:r>
        <w:t>Bundesgericht, 2007-09-25, DE</w:t>
      </w:r>
    </w:p>
    <w:p>
      <w:r>
        <w:rPr>
          <w:b/>
        </w:rPr>
        <w:t xml:space="preserve">Quelle: </w:t>
      </w:r>
      <w:r>
        <w:t>https://mcp.opencaselaw.ch/entscheid/bger_9C_356_2007</w:t>
      </w:r>
    </w:p>
    <w:p>
      <w:r>
        <w:t>FR: TF 9C_356/2007 du 25 septembre 2007</w:t>
      </w:r>
    </w:p>
    <w:p>
      <w:r>
        <w:t>IT: TF 9C_356/2007 del 25 settembre 2007</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Mit Blick auf diese Kognitionsregelung ist aufgrund der Vorbringen in der Beschwerde ans Bundesgericht zu prüfen, ob der angefochtene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1.3</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2</w:t>
      </w:r>
    </w:p>
    <w:p>
      <w:r>
        <w:t>Die Vorinstanz hat die gesetzlichen Bestimmungen und die Rechtsprechung über den Umfang des Rentenanspruchs ( Art. 28 Abs. 1 IVG sowohl in der bis 31. Dezember 2003 gültig gewesenen wie auch in der seit 1. Januar 2004 geltenden Fassung) und die Bemessung des Invaliditätsgrades bei erwerbstätigen Versicherten nach der allgemeinen Methode des Einkommensvergleichs (bis 31. Dezember 2003: Art. 1 Abs. 1 IVG in Verbindung mit Art. 16 ATSG ; ab 1. Januar 2004: Art. 28 Abs. 2 IVG in Verbindung mit Art. 16 ATSG ; BGE 130 V 343 E. 3.4 S. 348, 128 V 29 E. 1 S. 30, 104 V 135 E. 2a und b S. 136) richtig wiedergegeben. Darauf wird verwiesen.</w:t>
      </w:r>
    </w:p>
    <w:p>
      <w:r>
        <w:rPr>
          <w:b/>
        </w:rPr>
        <w:t>E. 3</w:t>
      </w:r>
    </w:p>
    <w:p>
      <w:r>
        <w:t>Des Weitern hat das kantonale Gericht - wobei es die hievor (Erw. 1) angeführte grundsätzliche Verbindlichkeit der vorinstanzlichen Tatsachenfeststellungen für das Bundesgericht zu beachten gilt - gestützt auf die gesamte Aktenlage (namentlich das Gutachten der MEDAS vom 10. April 2006) zutreffend erkannt, dass der Beschwerdeführer wegen seiner diversen psychischen und somatischen Beschwerden sowohl den angestammten Beruf als Handelsvertreter wie auch jede andere körperlich leichte bis mittelschwere Erwerbstätigkeit seit November 2003 (Beginn der Wartezeit gemäss Art. 29 Abs. 1 lit. b IVG ) nur mehr in hälftigem Umfange auszuüben vermag, damit aber keine Erwerbseinbusse von mindestens 60 % erleidet. Jedenfalls kann von einer offensichtlich unrichtigen oder unvollständigen Feststellung des rechterheblichen Sachverhalts durch die Vorinstanz keine Rede sein (auch nicht im Hinblick auf die letztinstanzlich nachgereichten Stellungnahmen des Hausarztes Dr. H.________ vom 5. Juni 2007, der Medizinischen Abteilung des Kantonalen Spitals X.________ vom 25. Mai 2007 sowie der Suchtberatung des Sozialen Dienstes Y.________ vom 16. Mai 2007). Für die beantragte ergänzende medizinische Begutachtung bleibt demnach kein Raum. In der Beschwerde werden ausschliesslich Tat- und Ermessensfragen aufgeworfen, welche - wie dargelegt - der freien Überprüfung durch das Bundesgericht entzogen sind.</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 Wie eingangs erwähnt, wurde sein Gesuch um unentgeltliche Rechtspflege mit Zwischenbeschluss vom 24. August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