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9C_355/2011 vom 8. November 2011</w:t>
      </w:r>
    </w:p>
    <w:p>
      <w:r>
        <w:t>Bundesgericht, 2011-11-08, FR</w:t>
      </w:r>
    </w:p>
    <w:p>
      <w:r>
        <w:rPr>
          <w:b/>
        </w:rPr>
        <w:t xml:space="preserve">Quelle: </w:t>
      </w:r>
      <w:r>
        <w:t>https://mcp.opencaselaw.ch/entscheid/bger_9C_355_2011</w:t>
      </w:r>
    </w:p>
    <w:p>
      <w:r>
        <w:t>FR: TF 9C_355/2011 du 8 novembre 2011</w:t>
      </w:r>
    </w:p>
    <w:p>
      <w:r>
        <w:t>IT: TF 9C_355/2011 del 8 novembre 2011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L'instance cantonale a considéré que l'aggravation de l'état de santé du recourant justifiait le passage d'un quart de rente à une demi-rente d'invalidité. Se fondant sur les conclusions des médecins du SMR, elle a retenu une capacité résiduelle de travail de 50 % dans une activité adaptée à compter de septembre 2004. Par ailleurs, il n'y avait pas de motifs particuliers qui justifiaient de s'écarter de l'abattement de 10 % sur le salaire statistique retenu par l'intimé. Compte tenu de ces éléments, le taux d'invalidité du recourant était de 59 %.</w:t>
      </w:r>
    </w:p>
    <w:p>
      <w:r>
        <w:rPr>
          <w:b/>
        </w:rPr>
        <w:t>E. 3.1</w:t>
      </w:r>
    </w:p>
    <w:p>
      <w:r>
        <w:t>Se référant à l'arrêt publié aux ATF 135 V 469 , le recourant se plaint tout d'abord d'une violation de l' art. 6 CEDH en relation avec l' art. 45 LPGA . Selon lui, les premiers juges auraient dû avoir des doutes quant à l'existence d'une capacité résiduelle de travail de 50 %, retenue par les médecins du SMR. Cette conclusion reposerait essentiellement sur le fait qu'il a pu rester en position assise durant l'entretien qu'il a eu avec ces médecins, et serait démentie par ses psychiatres traitants et par le docteur A.________. Dans ces conditions, l'instance cantonale aurait dû ordonner la réalisation d'une expertise pour clarifier sa situation médicale, d'autant que le taux d'invalidité retenu était proche du seuil de 60 % qui lui ouvrirait le droit à trois quarts de rente.</w:t>
      </w:r>
    </w:p>
    <w:p>
      <w:r>
        <w:rPr>
          <w:b/>
        </w:rPr>
        <w:t>E. 3.2</w:t>
      </w:r>
    </w:p>
    <w:p>
      <w:r>
        <w:t>Cette argumentation ne résiste pas à l'examen.</w:t>
      </w:r>
    </w:p>
    <w:p>
      <w:r>
        <w:rPr>
          <w:b/>
        </w:rPr>
        <w:t>E. 3.2.1</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 ATF 125 V 351 consid. 3a p. 352; ATF 122 V 157 consid. 1c p. 160 et les références; arrêt 9C_1023/2008 du 30 juin 2009 consid. 2.1.1).</w:t>
      </w:r>
    </w:p>
    <w:p>
      <w:r>
        <w:t>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 art. 44 LPGA ou une expertise judiciaire ( ATF 135 V 465 consid. 4.6 p. 471; arrêt 8C_456/2010 du 19 avril 2011 consid. 3).</w:t>
      </w:r>
    </w:p>
    <w:p>
      <w:r>
        <w:rPr>
          <w:b/>
        </w:rPr>
        <w:t>E. 3.2.2</w:t>
      </w:r>
    </w:p>
    <w:p>
      <w:r>
        <w:t>Le recourant n'avance aucun argument qui permettrait de remettre en cause la valeur probante du rapport des médecins du SMR pourtant circonstancié et soigneusement élaboré. Quoi qu'il en dise, ceux-ci ont motivé leurs conclusions relatives à sa capacité résiduelle de travail (cf. rapport, pp. 10 s.). Comme l'a indiqué l'instance cantonale, les docteurs I.________ et B.________ ont en outre exposé de manière convaincante pourquoi ils s'écartaient de la position des docteurs P.________ et M.________, et le rapport des docteurs L.________ et C.________ ne fait état d'aucun élément médical dont les médecins du SMR n'auraient pas tenu compte. Au surplus, les deux rapports de l'Unité de psychiatrie ambulatoire de X.________ sont brefs, peu étayés et insuffisamment motivés pour bénéficier d'une pleine force probante. Dès lors, ils n'étaient pas à même de laisser subsister des doutes quant à la fiabilité et la pertinence de l'appréciation des docteurs I.________ et B.________. Il en va de même du rapport du docteur A.________, lequel du reste se prononce uniquement sur la capacité résiduelle de travail dans l'activité habituelle. Dans ces conditions, il n'y avait pas lieu de mettre en ?uvre une expertise judiciaire; les premiers juges étaient donc fondés à considérer que les faits tels qu'ils ressortaient du rapport des médecins du SMR présentaient un degré de vraisemblance prépondérante et que d'autres mesures probatoires n'auraient pas pu modifier cette appréciation (appréciation anticipée des preuves; cf. ATF 130 II 425 consid. 2.1 p. 429; 125 I 127 consid. 6c/cc in fine p. 135).</w:t>
      </w:r>
    </w:p>
    <w:p>
      <w:r>
        <w:rPr>
          <w:b/>
        </w:rPr>
        <w:t>E. 4.1</w:t>
      </w:r>
    </w:p>
    <w:p>
      <w:r>
        <w:t>Le recourant critique en deuxième lieu le taux d'abattement de 10 % retenu par la juridiction cantonale pour déterminer son revenu d'invalide. Il soutient qu'au vu de ses limitations fonctionnelles et de son âge, il pouvait prétendre à une réduction de 20 % au minimum.</w:t>
      </w:r>
    </w:p>
    <w:p>
      <w:r>
        <w:rPr>
          <w:b/>
        </w:rPr>
        <w:t>E. 4.2</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p. 79 s.).</w:t>
      </w:r>
    </w:p>
    <w:p>
      <w:r>
        <w:rPr>
          <w:b/>
        </w:rPr>
        <w:t>E. 4.3</w:t>
      </w:r>
    </w:p>
    <w:p>
      <w:r>
        <w:t>Alors que le point de savoir s'il y a lieu de procéder à un abattement sur le salaire statistique en raison de circonstances particulières (liées au handicap de la personne ou d'autres facteurs) est une question de droit qui peut être examinée librement par le Tribunal fédéral, l'étendue de l'abattement du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 ( ATF 137 V 71 consid. 5.1 p. 72 s.; ATF 132 V 393 consid. 3.3 p. 399).</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ATF 123 V 150 consid. 2 p. 152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 ATF 137 V 71 consid. 5.1 p. 73; ATF 116 V 307 consid. 2 p. 310 et les références).</w:t>
      </w:r>
    </w:p>
    <w:p>
      <w:r>
        <w:rPr>
          <w:b/>
        </w:rPr>
        <w:t>E. 4.4</w:t>
      </w:r>
    </w:p>
    <w:p>
      <w:r>
        <w:t>L'argumentation du recourant n'est pas propre à démontrer que la juridiction cantonale aurait commis un excès positif ou négatif de son pouvoir d'appréciation ou aurait abusé de celui-ci. Les premiers juges ont relevé que de nombreuses activités professionnelles lui étaient encore accessibles en dépit de ses limitations fonctionnelles. Le recourant n'oppose aucun argument spécifique à cette affirmation, se contentant d'énumérer ces limitations, telles qu'elles ressortent du rapport des médecins du SMR. C'est en vain qu'il reproche aux premiers juges de ne pas avoir pris en compte son âge dans une plus large mesure. En effet, au moment déterminant où la juridiction cantonale a apprécié la situation (arrêt 9C_93/2008 du 19 janvier 2009 consid. 7.3), il était âgé de 58 ans et sept mois; il n'avait par conséquent pas atteint l'âge à partir duquel le Tribunal fédéral reconnaît généralement que ce facteur devient déterminant et nécessite une approche particulière (arrêts 9C_104/2008 du 15 octobre 2008 consid. 4 et les références citées; 9C_651/2008 du 9 octobre 2009 consid. 6.2.2.2).</w:t>
      </w:r>
    </w:p>
    <w:p>
      <w:r>
        <w:rPr>
          <w:b/>
        </w:rPr>
        <w:t>E. 5</w:t>
      </w:r>
    </w:p>
    <w:p>
      <w:r>
        <w:t>Il suit de ce qui précède que le recours est mal fondé et doit être liquidé selon la procédure simplifiée ( art. 109 al. 2 let. a LTF ). Le recourant, qui succombe, doit en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