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9C_354/2009 vom 7. Dezember 2009</w:t>
      </w:r>
    </w:p>
    <w:p>
      <w:r>
        <w:t>Bundesgericht, 2009-12-07, FR</w:t>
      </w:r>
    </w:p>
    <w:p>
      <w:r>
        <w:rPr>
          <w:b/>
        </w:rPr>
        <w:t xml:space="preserve">Quelle: </w:t>
      </w:r>
      <w:r>
        <w:t>https://mcp.opencaselaw.ch/entscheid/bger_9C_354_2009</w:t>
      </w:r>
    </w:p>
    <w:p>
      <w:r>
        <w:t>FR: TF 9C_354/2009 du 7 décembre 2009</w:t>
      </w:r>
    </w:p>
    <w:p>
      <w:r>
        <w:t>IT: TF 9C_354/2009 del 7 dicembre 2009</w:t>
      </w:r>
    </w:p>
    <w:p>
      <w:pPr>
        <w:pStyle w:val="Heading2"/>
      </w:pPr>
      <w:r>
        <w:t>Erwägungen</w:t>
      </w:r>
    </w:p>
    <w:p>
      <w:r>
        <w:rPr>
          <w:b/>
        </w:rPr>
        <w:t>E. 1</w:t>
      </w:r>
    </w:p>
    <w:p>
      <w:r>
        <w:t>Les recours en matière de droit public concernent des faits de même nature, portent sur des questions juridiques communes et sont dirigés contre le même jugement. Il se justifie donc de joindre les causes et de les liquider dans un seul arrêt (cf. ATF 131 V 59 consid. 1 p. 60).</w:t>
      </w:r>
    </w:p>
    <w:p>
      <w:r>
        <w:rPr>
          <w:b/>
        </w:rPr>
        <w:t>E. 2</w:t>
      </w:r>
    </w:p>
    <w:p>
      <w:r>
        <w:t>Bien que le dispositif de l'acte attaqué renvoie la cause à l'office AI, il ne s'agit pas d'une décision incidente au sens de l' art. 93 LTF car la juridiction cantonale a statué définitivement sur les points contestés, le renvoi de la cause ne visant que le calcul des prestations dues. Le recours est dès lors recevable puisqu'il est dirigé contre un jugement final (cf. art. 90 LTF ; arrêt du Tribunal fédéral 9C_684/2007 du 27 septembre 2007 consid. 1.1 in SVR 2008 IV n° 39 p. 131).</w:t>
      </w:r>
    </w:p>
    <w:p>
      <w:r>
        <w:rPr>
          <w:b/>
        </w:rPr>
        <w:t>E. 3</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des faits importants pour le jugement de la cause que si ceux-ci ont été constatés en violation du droit au sens de l' art. 95 LTF ou de façon manifestement inexacte ( art. 97 al. 1 LTF ).</w:t>
      </w:r>
    </w:p>
    <w:p>
      <w:r>
        <w:rPr>
          <w:b/>
        </w:rPr>
        <w:t>E. 4</w:t>
      </w:r>
    </w:p>
    <w:p>
      <w:r>
        <w:t>Fondamentalement, V.________ reproche à la juridiction cantonale d'avoir fondé son jugement uniquement sur le rapport d'examen du SMR, auquel elle a conféré valeur probante, alors qu'elle disposait de nombreux avis médicaux divergents. Il soutient que cette situation, qui constitue une appréciation arbitraire des preuves et viole son droit d'être entendu, nécessitait la réalisation de mesures complémentaires d'instruction.</w:t>
      </w:r>
    </w:p>
    <w:p>
      <w:r>
        <w:rPr>
          <w:b/>
        </w:rPr>
        <w:t>E. 4.1</w:t>
      </w:r>
    </w:p>
    <w:p>
      <w:r>
        <w:t>On rappellera préalablement que la violation du droit d'être entendu et du devoir incombant à l'autorité judiciaire d'établir les faits déterminants pour la résolution du litige dans le sens invoqué par l'assuré sont des questions qui n'ont pas de portée propre par rapport au grief tiré d'une mauvaise appréciation des preuves (cf. notamment ATF 130 II 425 consid. 2.1 p. 429 et ATF 124 V 90 consid. 4b p. 94). Le juge peut effectivement renoncer à accomplir certains actes d'instruction si, en se fondant sur une appréciation consciencieuse des preuves, il est convaincu que certains faits présentent un degré de vraisemblance prépondérante et que d'autres mesures probatoires ne pourraient plus modifier cette appréciation (cf. arrêt du Tribunal fédéral 9C_986/2008 du 29 mai 2009 consid. 3 et les références).</w:t>
      </w:r>
    </w:p>
    <w:p>
      <w:r>
        <w:rPr>
          <w:b/>
        </w:rPr>
        <w:t>E. 4.2</w:t>
      </w:r>
    </w:p>
    <w:p>
      <w:r>
        <w:t>Conformément à ce qui précède et contrairement à ce que semble soutenir l'assuré, on notera que ce n'est pas l'existence en soi de rapports médicaux divergents qui justifie la réalisation de mesures d'instruction, mais la conviction acquise par l'autorité compétente au terme d'une appréciation des preuves disponibles que les faits pertinents ne sont pas suffisamment établis.</w:t>
      </w:r>
    </w:p>
    <w:p>
      <w:r>
        <w:t>Ainsi, le fait pour V.________ de citer les critiques émises par les premiers juges contre le manque de motivation du taux d'incapacité de travail dans les rapports du docteur N.________, interniste et médecin-conseil de l'assureur perte de gain, et du docteur P.________, puis de soutenir qu'il s'agissait justement de circonstances où l'audition de ces praticiens aurait été utile n'est pas suffisant pour remettre en question l'appréciation des preuves par la juridiction cantonale, d'autant moins que l'argumentation de cette dernière ne s'est pas arrêtée au seul élément du manque de motivation, mais qu'elle portait aussi sur la brièveté des observations du docteur N.________, la qualité de médecin traitant du docteur P.________ ou le caractère convaincant de la qualification du trouble dépressif par celui-ci ou les médecins du SMR.</w:t>
      </w:r>
    </w:p>
    <w:p>
      <w:r>
        <w:t>Il en va de même des reproches de l'assuré sur la façon dont les premiers juges ont écarté le rapport de la doctoresse A.________. Contrairement à ce qu'il affirme, ceux-ci ne se sont pas contentés de mettre en doute l'authenticité du document en question. Ils ont concrètement relevé que le praticien mentionné ne se prononçait pas sur la capacité de travail, que son rapport succinct - «truffé» de fautes d'orthographe, rédigé en style télégraphique et non signé - ne contenait pas d'anamnèse psychiatrique, ni d'appréciation du cas ou de description du contexte médical claire. On ajoutera que la doctoresse A.________ se prononce sur une situation médicale postérieure et réactionnelle à la décision litigieuse, dont la juridiction cantonale n'avait pas à connaître (cf. ATF 121 V 362 consid. 1b p. 366 et les références).</w:t>
      </w:r>
    </w:p>
    <w:p>
      <w:r>
        <w:t>Le recours interjeté par V.________ est par conséquent mal fondé dans la mesure où il ne démontre pas en quoi l'appréciation des preuves par les premiers juges serait manifestement inexacte.</w:t>
      </w:r>
    </w:p>
    <w:p>
      <w:r>
        <w:rPr>
          <w:b/>
        </w:rPr>
        <w:t>E. 5</w:t>
      </w:r>
    </w:p>
    <w:p>
      <w:r>
        <w:t>Pour sa part, l'office AI conteste le taux d'abattement retenu par la juridiction cantonale pour déterminer le revenu d'invalide de l'assuré (cf. ATF 129 V 472 consid. 4.2.3 p. 481 et les références). Il soutient particulièrement que celle-ci a abusé de son pouvoir d'appréciation dans la mesure où V.________ était loin de rassembler en sa personne l'ensemble des critères pouvant justifier un abattement maximal de 25 %. Il admet cependant que le taux retenu dans sa propre décision peut sembler faible, mais que les circonstances ne justifient pas un abattement supérieur à 15 %, voire 20 %, ce qui n'aurait de toute façon pas d'incidence sur l'octroi d'une rente.</w:t>
      </w:r>
    </w:p>
    <w:p>
      <w:r>
        <w:rPr>
          <w:b/>
        </w:rPr>
        <w:t>E. 5.1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(cf.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rPr>
          <w:b/>
        </w:rPr>
        <w:t>E. 5.2</w:t>
      </w:r>
    </w:p>
    <w:p>
      <w:r>
        <w:t>En l'espèce, les premiers juges ont considéré que la réduction appliquée par l'administration (10 %) ne tenait pas suffisamment compte de l'ensemble des circonstances du cas d'espèce. Ils ont constaté que l'assuré, âgé de presque soixante-et-un ans au moment où la décision administrative avait été rendue, était employé depuis près de vingt ans par le même employeur et que les nombreuses limitations fonctionnelles observées ne lui permettaient désormais d'exercer qu'une activité à temps partiel. Sur cette base, ils ont fixé un taux d'abattement maximal de 25 %.</w:t>
      </w:r>
    </w:p>
    <w:p>
      <w:r>
        <w:t>Si cette appréciation peut sembler généreuse, elle n'est pas insoutenable, contrairement à ce que fait valoir l'administration qui a reconnu avoir sous-estimé le taux d'abattement dans sa propre décision et s'est bornée à relever que les limitations fonctionnelles avaient déjà été prises en compte dans l'évaluation de la capacité de travail, dès lors que V.________ était effectivement âgé de soixante ans au moment de la naissance du droit à la rente, soit un âge proche du seuil à partir duquel la jurisprudence parle d'un âge avancé (cf. notamment arrêts du Tribunal fédéral 9C_918/2008 consid. 4.2.2, 9C_437/2008 consid. 4, 9C_612/2007 consid. 5.1 et les références), que les limitations fonctionnelles retenues sont nombreuses et contraignantes, bien qu'elles laissent subsister un taux d'occupation de 70 %, et qu'à ces critères s'ajoute celui des années de service. Le recours de l'office AI est par conséquent mal fondé.</w:t>
      </w:r>
    </w:p>
    <w:p>
      <w:r>
        <w:rPr>
          <w:b/>
        </w:rPr>
        <w:t>E. 6</w:t>
      </w:r>
    </w:p>
    <w:p>
      <w:r>
        <w:t>Vu l'issue des litiges, les frais judiciaires sont répartis par moitié à la charge des parties ( art. 66 al. 1 LTF ). L'assuré a droit à une indemnité de dépens pour l'instance fédérale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