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9C_352/2023 vom 21. März 2024</w:t>
      </w:r>
    </w:p>
    <w:p>
      <w:r>
        <w:t>Bundesgericht, 2024-03-21, DE</w:t>
      </w:r>
    </w:p>
    <w:p>
      <w:r>
        <w:rPr>
          <w:b/>
        </w:rPr>
        <w:t xml:space="preserve">Quelle: </w:t>
      </w:r>
      <w:r>
        <w:t>https://mcp.opencaselaw.ch/entscheid/bger_9C_352_2023</w:t>
      </w:r>
    </w:p>
    <w:p>
      <w:r>
        <w:t>FR: TF 9C_352/2023 du 21 mars 2024</w:t>
      </w:r>
    </w:p>
    <w:p>
      <w:r>
        <w:t>IT: TF 9C_352/2023 del 21 marzo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1.3</w:t>
      </w:r>
    </w:p>
    <w:p>
      <w:r>
        <w:t>Neue Tatsachen und Beweismittel dürfen gemäss Art. 99 Abs. 1 BGG im bundesgerichtlichen Verfahren nur so weit vorgebracht werden, als erst der Entscheid der Vorinstanz dazu Anlass gibt. Neue Begehren sind nach Art. 99 Abs. 2 BGG unzulässig.</w:t>
      </w:r>
    </w:p>
    <w:p>
      <w:r>
        <w:rPr>
          <w:b/>
        </w:rPr>
        <w:t>E. 1.4</w:t>
      </w:r>
    </w:p>
    <w:p>
      <w:r>
        <w:t>Nicht einzutreten ist auf die subsidiäre Verfassungsbeschwerde, deren Voraussetzungen nicht erfüllt sind ( Art. 113 BGG ; Urteil 5A_80/2024 vom 18. März 2024 E. 1).</w:t>
      </w:r>
    </w:p>
    <w:p>
      <w:r>
        <w:rPr>
          <w:b/>
        </w:rPr>
        <w:t>E. 2</w:t>
      </w:r>
    </w:p>
    <w:p>
      <w:r>
        <w:t>Streitig und zu prüfen ist, ob das kantonale Gericht Bundesrecht verletzte, als es das Vertragsverhältnis zwischen der Beschwerdeführerin und der Beigeladenen als unselbstständige Erwerbstätigkeit qualifizierte.</w:t>
      </w:r>
    </w:p>
    <w:p>
      <w:r>
        <w:rPr>
          <w:b/>
        </w:rPr>
        <w:t>E. 3.1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w:t>
      </w:r>
    </w:p>
    <w:p>
      <w:r>
        <w:rPr>
          <w:b/>
        </w:rPr>
        <w:t>E. 3.2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149 V 57 E. 6.2 ff.; 144 V 111 E. 4.2 mit diversen Hinweisen).</w:t>
      </w:r>
    </w:p>
    <w:p>
      <w:r>
        <w:rPr>
          <w:b/>
        </w:rPr>
        <w:t>E. 4.1</w:t>
      </w:r>
    </w:p>
    <w:p>
      <w:r>
        <w:t>Das kantonale Gericht hat in umfassender Würdigung der massgeblichen Kriterien erwogen, bei der Erwerbstätigkeit der Beigeladenen für die Beschwerdeführerin würden die Merkmale einer unselbstständigen Erwerbstätigkeit deutlich überwiegen. Darauf kann verwiesen werden ( Art. 109 Abs. 3 BGG ). Was die Beschwerdeführerin dagegen vorbringt, vermag - soweit die Beschwerdeschrift mit Blick auf Art. 42 Abs. 2 BGG überhaupt genügend begründet ist und sich nicht auf eine rein appellatorische Kritik am angefochtenen Urteil beschränkt - die Sachverhaltsfeststellungen der Vorinstanz nicht als offensichtlich unrichtig und die daraus gezogenen Schlüsse nicht als bundesrechtswidrig erscheinen zu lassen. So legt die Beschwerdeführerin etwa nicht dar, inwiefern die Beigeladene in ihrer Tätigkeit für sie ein spezifisches Unternehmerrisiko tragen würde. Nicht als solches gelten kann das Risiko, bei finanziellen Schwierigkeiten der Arbeitgeberin kein Entgelt für die geleistete Arbeit zu erhalten, ist dieses doch auch einer unselbstständigen Erwerbstätigkeit inhärent (vgl. auch Urteil U 280/01 vom 23. Juni 2003 E. 5.2.5). Weiter macht sie zwar geltend, sie habe gegenüber der Beigeladenen kein Weisungsrecht gehabt, diese sei nicht in die Arbeitsorganisation eingefügt und nicht zu persönlicher Arbeitsleistung verpflichtet gewesen. Damit stellt sie lediglich ihre eigene Sichtweise dar, ohne jedoch auszuführen, inwiefern die gegenteiligen vorinstanzlichen Sachverhaltsfeststellungen auf einer Bundesrechtsverletzung beruhen würden oder willkürlich im Sinne der Rechtsprechung (vgl. E. 1.2 hiervor) wären.</w:t>
      </w:r>
    </w:p>
    <w:p>
      <w:r>
        <w:rPr>
          <w:b/>
        </w:rPr>
        <w:t>E. 4.2</w:t>
      </w:r>
    </w:p>
    <w:p>
      <w:r>
        <w:t>Entgegen den Ausführungen der Beschwerdeführerin schafft der Umstand, dass die Beigeladene bereits vor Arbeitsaufnahme als Selbstständigerwerbende einer Ausgleichskasse angeschlossen war, keine Vertrauensgrundlage dafür, dass sämtliche mit dieser Person abgeschlossenen Verträge auf Arbeitsleistung sozialversicherungsrechtlich als selbstständige Erwerbstätigkeit qualifiziert werden. Bereits deshalb verbleibt kein Raum für den von der Beschwerdeführerin angerufenen öffentlich-rechtlichen Vertrauensschutz ( BGE 121 V 65 E. 2). Damit kann auch offenbleiben, ob das entsprechende Vorbringen mit Blick auf Art. 99 BGG (vgl. E. 1.3 hiervor) vorliegend überhaupt zu hören wäre.</w:t>
      </w:r>
    </w:p>
    <w:p>
      <w:r>
        <w:rPr>
          <w:b/>
        </w:rPr>
        <w:t>E. 4.3</w:t>
      </w:r>
    </w:p>
    <w:p>
      <w:r>
        <w:t>Zusammenfassend ergibt sich, dass das kantonale Gericht nicht gegen Bundesrecht verstossen hat, als es von einer unselbstständigen Erwerbstätigkeit der Beigeladenen für die Beschwerdeführerin ausging. Entsprechend ist die Beschwerde abzuweisen, soweit darauf einzutreten ist ( Art. 109 Abs. 1 lit. a BGG ).</w:t>
      </w:r>
    </w:p>
    <w:p>
      <w:r>
        <w:rPr>
          <w:b/>
        </w:rPr>
        <w:t>E. 5.1</w:t>
      </w:r>
    </w:p>
    <w:p>
      <w:r>
        <w:t>Mit diesem Entscheid in der Sache wird das Gesuch um aufschiebende Wirkung gegenstandslos.</w:t>
      </w:r>
    </w:p>
    <w:p>
      <w:r>
        <w:rPr>
          <w:b/>
        </w:rPr>
        <w:t>E. 5.2</w:t>
      </w:r>
    </w:p>
    <w:p>
      <w:r>
        <w:t>Entsprechend dem Verfahrensausgang sind die Gerichtskosten der unterliegenden Beschwerdeführerin aufzuerlegen ( Art. 66 Abs. 1 BGG ). Da die Beigeladene nicht aufgefordert wurde, eine Stellungnahme einzureichen, sie sich in der Folge nicht vernehmen liess und ihr damit durch das bundesgerichtliche Verfahren kein Aufwand entstanden ist,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