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9C_352/2014 vom 14. Oktober 2014</w:t>
      </w:r>
    </w:p>
    <w:p>
      <w:r>
        <w:t>Bundesgericht, 2014-10-14, FR</w:t>
      </w:r>
    </w:p>
    <w:p>
      <w:r>
        <w:rPr>
          <w:b/>
        </w:rPr>
        <w:t xml:space="preserve">Quelle: </w:t>
      </w:r>
      <w:r>
        <w:t>https://mcp.opencaselaw.ch/entscheid/bger_9C_352_2014</w:t>
      </w:r>
    </w:p>
    <w:p>
      <w:r>
        <w:t>FR: TF 9C_352/2014 du 14 octobre 2014</w:t>
      </w:r>
    </w:p>
    <w:p>
      <w:r>
        <w:t>IT: TF 9C_352/2014 del 14 ottobre 2014</w:t>
      </w:r>
    </w:p>
    <w:p>
      <w:pPr>
        <w:pStyle w:val="Heading2"/>
      </w:pPr>
      <w:r>
        <w:t>Erwägungen</w:t>
      </w:r>
    </w:p>
    <w:p>
      <w:r>
        <w:rPr>
          <w:b/>
        </w:rPr>
        <w:t>E. 1</w:t>
      </w:r>
    </w:p>
    <w:p>
      <w:r>
        <w:t>Saisi d'un recours en matière de droit public (cf. art. 82 ss LTF ) interjeté pour violation du droit fédéral (comprenant les droits fondamentaux) au sens de l' art. 95 let. a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 portent sur la violation des droits fondamentaux ( art. 106 al. 2 LTF ). Il ne peut pas aller au-delà des conclusions des parties ( art. 107 al. 1 LTF ). Le recourant n'est habilité à critiquer la constatation des faits influant sur le sort du litige que si ceux-ci ont été établis en violation du droit ou de façon manifestement inexacte ( art. 97 al. 1 LTF ).</w:t>
      </w:r>
    </w:p>
    <w:p>
      <w:r>
        <w:rPr>
          <w:b/>
        </w:rPr>
        <w:t>E. 2</w:t>
      </w:r>
    </w:p>
    <w:p>
      <w:r>
        <w:t>Est litigieux le droit à une rente d'invalidité dans le cadre d'une nouvelle demande de prestations ou, en d'autres termes, le point de savoir si - par analogie avec l' art. 17 LPGA (cf. art. 87 al. 3 RAI ; voir également ATF 133 V 108 consid. 5 p. 110 ss; 130 V 343 consid. 3.5.2 p. 350 sv.; 130 V 71 consid. 3.2 p. 75 ss) - le degré d'invalidité de l'intimée a subi une modification significative depuis la décision du 30 juin 2008 et justifie désormais l'octroi d'une rente. Vu les critiques de l'office recourant contre le jugement cantonal (sur le devoir d'allégation et de motivation, voir Florence Aubry Girardin, in: Commentaire de la LTF, 2ème éd. 2014, n° 24 ad art. 42 LTF et les références jurisprudentielles citées), il s'agit en particulier de déterminer d'une part si la juridiction cantonale a violé le droit fédéral en constatant que l'assurée avait un statut de personne active à 100% et d'autre part si, afin d'apprécier l'évolution de l'état de santé de l'intimée, elle a indûment omis de comparer les circonstances prévalant aux moments opportuns définis par la jurisprudence et si elle a arbitrairement apprécié les preuves en concluant à une péjoration de la situation de l'intimée.</w:t>
      </w:r>
    </w:p>
    <w:p>
      <w:r>
        <w:rPr>
          <w:b/>
        </w:rPr>
        <w:t>E. 3.1</w:t>
      </w:r>
    </w:p>
    <w:p>
      <w:r>
        <w:t>Dès lors que l'invalidité d'un assuré majeur se définit par rapport à l'impact d'une atteinte à la santé soit sur l'aptitude de celui-ci a accomplir dans sa profession ou son domaine d'activité le travail qui peut raisonnablement être exigé de lui (cf. art. 6, 7 et 8 al. 1 LPGA ), soit sur son aptitude à accomplir ses travaux habituels (cf. art. 8 al. 3 LPGA ), il convient en premier lieu d'examiner le grief portant sur le statut de l'intimée, même si l'administration ne l'a invoqué qu'à titre subsidiaire. En effet, la méthode d'évaluation de l'invalidité est différente, selon qu'on est en présence d'un assuré actif professionnellement ou pas (cf. ATF 129 V 150 consid. 2.1 p. 152 s.). L'influence d'une pathologie déterminée n'est par ailleurs pas forcément identique selon le domaine d'activité (professionnel ou ménager) considéré.</w:t>
      </w:r>
    </w:p>
    <w:p>
      <w:r>
        <w:rPr>
          <w:b/>
        </w:rPr>
        <w:t>E. 3.2</w:t>
      </w:r>
    </w:p>
    <w:p>
      <w:r>
        <w:t>Le tribunal cantonal a constaté à ce propos que l'intimée avait un statut d'active à 100%. Cette constatation reposait sur le fait que celle-ci était arrivée en Suisse en 1992, qu'elle avait travaillé deux mois en 2005, qu'elle avait expliqué les raisons pour lesquelles elle avait voulu travailler dès l'an 2000 (autonomie des enfants, volonté de sortir de la maison et d'obtenir un revenu), qu'elle n'avait pas été à même d'assumer une activité en raison de la survenance de plusieurs atteintes à la santé et que l'échec de la tentative de reprise d'une activité en 2005 était justement dû auxdites atteintes.</w:t>
      </w:r>
    </w:p>
    <w:p>
      <w:r>
        <w:rPr>
          <w:b/>
        </w:rPr>
        <w:t>E. 3.3</w:t>
      </w:r>
    </w:p>
    <w:p>
      <w:r>
        <w:t>L'office recourant soutient que, par cette appréciation (cf. consid. 3.2), les premiers juges ont violé le droit fédéral, en admettant que l'intimée avait un statut de personne active à 100%. Ce grief est fondé. Si la détermination du statut doit prendre en compte la volonté hypothétique de l'assurée (qui, en tant que fait interne, ne peut faire l'objet d'une administration directe de la preuve), celle volonté ne peut être admise sans autres éléments de preuve, mais doit être confortée par des indices extérieurs (cf. arrêt du Tribunal fédéral des assurances I 693/06 du 20 décembre 2006 consid. 4.1). Ceux-ci sont à rechercher dans l'ensemble des circonstances personnelles, familiales, sociales, financières ou professionnelles et doivent présenter un degré de vraisemblance prépondérante (cf. ATF 125 V 149 consid. 2c p. 150). Or, en l'espèce, la volonté exprimée par l'assurée de reprendre une activité lucrative dès l'an 2000 ne trouve aucune confortation dans les éléments exposés par la juridiction cantonale. Au contraire, l'absence totale d'activité (si ce n'est deux mois en 2005) depuis l'arrivée en Suisse en 1992 et l'absence de pièces attestant d'une quelconque recherche d'emploi de 1992 à nos jours, à quoi peuvent s'ajouter une seule période de travail de deux mois en 2005, la nouvelle annonce à l'administration en tant que femme au foyer (cf. nouvelle requête de prestations déposée le 29 avril 2011) et l'absence de recherches d'emploi pendant la période durant laquelle aucune maladie n'avait été attesté mais la volonté de travailler soi-disant déjà présente doivent l'emporter sur la déclaration d'intention de l'intimée et l'autonomie de ses enfants. L'assurée a par conséquent un statut de ménagère. Le recours doit donc être admis.</w:t>
      </w:r>
    </w:p>
    <w:p>
      <w:r>
        <w:rPr>
          <w:b/>
        </w:rPr>
        <w:t>E. 3.4</w:t>
      </w:r>
    </w:p>
    <w:p>
      <w:r>
        <w:t>Dans la mesure où l'incidence des pathologies diagnostiquées sur l'accomplissement des tâches ménagères n'a jamais été examinée, il convient d'annuler le jugement cantonal ainsi que la décision administrative et de renvoyer la cause à l'office recourant pour qu'il complète l'instruction (enquête ménagère, constitution d'un dossier médical concernant l'impact des atteintes à la santé dans la sphère ménagère) et rende une nouvelle décision. L'admission du recours sur ce point rend en outre inutile l'examen des autres griefs de l'administration.</w:t>
      </w:r>
    </w:p>
    <w:p>
      <w:r>
        <w:rPr>
          <w:b/>
        </w:rPr>
        <w:t>E. 4</w:t>
      </w:r>
    </w:p>
    <w:p>
      <w:r>
        <w:t>Etant donné l'issue du litige, les frais judiciaires doivent être supportés par l'assurée ( art. 66 al. 1 LTF ), qui ne peut prétendre des dépens ( art. 68 al. 1 LTF ). L'office recourant n'y a pas droit non plus, même s'il obtient gain de cause ( art. 68 al. 3 LTF ). L'assistance judiciaire est toutefois accordée à l'intimée puisqu'elle en remplit les conditions ( art. 64 al. 1 et 2 LTF ). Elle est rendue attentive au fait qu'elle devra rembourser la caisse du tribunal, si elle devient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