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9C_34/2018 vom 4. Dezember 2018</w:t>
      </w:r>
    </w:p>
    <w:p>
      <w:r>
        <w:t>Bundesgericht, 2018-12-04, DE</w:t>
      </w:r>
    </w:p>
    <w:p>
      <w:r>
        <w:rPr>
          <w:b/>
        </w:rPr>
        <w:t xml:space="preserve">Quelle: </w:t>
      </w:r>
      <w:r>
        <w:t>https://mcp.opencaselaw.ch/entscheid/bger_9C_34_2018</w:t>
      </w:r>
    </w:p>
    <w:p>
      <w:r>
        <w:t>FR: TF 9C_34/2018 du 4 décembre 2018</w:t>
      </w:r>
    </w:p>
    <w:p>
      <w:r>
        <w:t>IT: TF 9C_34/2018 del 4 dicembre 2018</w:t>
      </w:r>
    </w:p>
    <w:p>
      <w:pPr>
        <w:pStyle w:val="Heading2"/>
      </w:pPr>
      <w:r>
        <w:t>Erwägungen</w:t>
      </w:r>
    </w:p>
    <w:p>
      <w:r>
        <w:rPr>
          <w:b/>
        </w:rPr>
        <w:t>E. 1.1</w:t>
      </w:r>
    </w:p>
    <w:p>
      <w:r>
        <w:t>Unrechtmässig bezogene Leistungen sind zurückzuerstatten (Art. 25 Abs. 1 erster Satz ATSG [SR 830.1]).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142 V 20 E. 3.2.2 S. 24; 140 V 521 E. 2.1 S. 525 mit Hinweisen). Im Invalidenversicherungsrecht werden die relative einjährige und die absolute fünfjährige Verwirkungsfrist durch den Erlass eines Vorbescheids im Sinne von Art. 73bis IVV (SR 831.201) gewahrt ( BGE 119 V 431 E. 3c S. 434; SVR 2011 IV Nr. 52 S. 155, 8C_699/2010 E. 2). Die Frist von fünf Jahren beginnt mit dem Zeitpunkt zu laufen, in welchem die Leistung effektiv erbracht worden ist, und nicht etwa mit dem Datum, an welchem sie hätte erbracht werden sollen ( BGE 112 V 180 E. 4a in fine S. 182; SVR 2010 ALV Nr. 4 S. 9, 8C_616/2009 E. 3.2 in fine; Sylvie Pétremand, in: Commentaire romand, Loi sur la partie générale des assurances sociales, 2018, N. 96 zu Art. 25 ATSG ).</w:t>
      </w:r>
    </w:p>
    <w:p>
      <w:r>
        <w:rPr>
          <w:b/>
        </w:rPr>
        <w:t>E. 1.2</w:t>
      </w:r>
    </w:p>
    <w:p>
      <w:r>
        <w:t>Nach Art. 50 Abs. 2 IVG findet für die Verrechnung Art. 20 Abs. 2 AHVG sinngemäss Anwendung. Gemäss dieser Bestimmung können mit Leistungen u.a. Forderungen aufgrund des IVG verrechnet werden (lit. a). Eine zeitliche Kongruenz der gegenseitigen Forderungen in dem Sinne, dass diese den gleichen Zeitraum beschlagen müssen, wird nicht verlangt. Wesentlich für die Zulässigkeit der Verrechnung ist somit nicht, dass Forderung und Gegenforderung im gleichen Zeitpunkt entstanden sind, sondern dass beide im Zeitpunkt der Verrechnung fällig sind ( BGE 140 V 233 E. 3.2 in fine S. 235; 125 V 317 E. 4a S. 320). Die Verrechnung von Forderungen kann sich sowohl auf laufende Renten der ersatzpflichtigen Person beziehen wie auch auf Rentennachzahlungen ( BGE 138 V 402 E. 4.2 S. 405; 136 V 286 E. 4.1 S. 288).</w:t>
      </w:r>
    </w:p>
    <w:p>
      <w:r>
        <w:rPr>
          <w:b/>
        </w:rPr>
        <w:t>E. 2</w:t>
      </w:r>
    </w:p>
    <w:p>
      <w:r>
        <w:t>Unter den Verfahrensbeteiligten ist unbestritten, dass der Beschwerdegegner die - wie sich nachträglich zeigte - von Februar 2007 bis Juli 2012 zu Unrecht bezogene Viertelsrente an sich vollumfänglich zurückzuerstatten bzw. deren (teilweise) Verrechnung mit der nachzuzahlenden ganzen Invalidenrente zu gewärtigen hätte. Die Nichteinhaltung der einjährigen Verwirkungsfrist wird von keiner Seite geltend gemacht. Streitig ist hingegen, ob und inwieweit die Rückforderung der IV-Stelle zufolge Ablaufs der Fünfjahresfrist bereits verwirkt war, als der Vorbescheid vom 13. April 2016 erging.</w:t>
      </w:r>
    </w:p>
    <w:p>
      <w:r>
        <w:rPr>
          <w:b/>
        </w:rPr>
        <w:t>E. 2.1</w:t>
      </w:r>
    </w:p>
    <w:p>
      <w:r>
        <w:t>Das kantonale Gericht ermittelte für die Zeiträume von August 2006 bis Januar 2007 und August 2012 bis März 2013 die Differenzbetreffnisse zwischen der dem Versicherten tatsächlich zustehenden ganzen Invalidenrente und der seinerzeit ausgerichteten Viertelsrente. Den daraus resultierenden Nachzahlungsbetrag von insgesamt Fr. 38'547.- (Fr. 20'052.- + Fr. 18'495.-) verrechnete die Vorinstanz mit der vom Beschwerdegegner von Mai 2011 bis Juli 2012 unrechtmässig bezogenen Viertelsrente (total Fr. 14'715.- berücksichtigt), was einen Nachzahlungsanspruch des Versicherten in Höhe von Fr. 23'832.- ergebe. Die von Februar 2007 bis April 2011 zu Unrecht ausgerichtete Viertelsrente könne hingegen zufolge Verwirkung nicht zurückgefordert und deshalb mit dem genannten Nachzahlungsanspruch auch nicht verrechnet werden. Das Vorgehen des kantonalen Gerichts ist rechtens und bedarf nur insofern der Korrektur, als es die von Mai bis August 2011 für den Sohn B.________ bezogene Kinderrente (total Fr. 872.-) versehentlich nicht zur Verrechnung brachte, wie die IV-Stelle zutreffend geltend macht. Dies vermindert den Nachzahlungsanspruch des Beschwerdegegners auf insgesamt Fr. 22'960.-.</w:t>
      </w:r>
    </w:p>
    <w:p>
      <w:r>
        <w:rPr>
          <w:b/>
        </w:rPr>
        <w:t>E. 2.2</w:t>
      </w:r>
    </w:p>
    <w:p>
      <w:r>
        <w:t>Sämtliche übrigen Einwendungen der beschwerdeführenden IV-Stelle vermögen daran nichts zu ändern. Entgegen ihrer Auffassung beschränken die Abs. 1 und 2 von Art. 25 ATSG die Rückforderung keineswegs auf</w:t>
      </w:r>
    </w:p>
    <w:p>
      <w:r>
        <w:t>rechtskräftig festgelegte Leistungen eines Sozialversicherungsträgers. Vielmehr hat die Bestimmung jedwelche zu Unrecht - d.h. ohne gesetzlichen oder bei nachträglich weggefallenem Grund - ausgerichtete Leistung im Auge. So spielt es nach der langjährigen Gerichtspraxis zu Art. 25 ATSG (bzw. seinen Vorläufern in den Einzelgesetzen) für die Rückerstattungspflicht keine Rolle, aus welchem Grunde es zur Unrechtmässigkeit der Auszahlung gekommen ist und ob die zur Rückerstattung Anlass gebenden Leistungen förmlich verfügt oder formlos (faktisch) ausgerichtet worden sind. Mit anderen Worten lässt allein schon die versehentliche Überweisung einer Versicherungsleistung auf das Konto eines Nichtberechtigten das sozialversicherungsrechtliche Rückerstattungsverhältnis entstehen (SVR 2017 BVG Nr. 32 S. 145, 9C_108/2016 E. 3.4.1 mit Hinweis). Der Rückforderungsanspruch hinsichtlich der mehr als fünf Jahre vor Erlass des Vorbescheids vom 13. April 2016 ausgerichteten Monatsbetreffnisse der Viertelsrente ist infolge Verwirkung endgültig untergegangen. Seine Erfüllung kann auch nicht durch Verrechnung mit Rentennachzahlungen erzwungen werden ( BGE 111 V 1 E. 3b S. 3; Urteil H 8/03 vom 13. Mai 2003 E. 6.1).</w:t>
      </w:r>
    </w:p>
    <w:p>
      <w:r>
        <w:rPr>
          <w:b/>
        </w:rPr>
        <w:t>E. 3</w:t>
      </w:r>
    </w:p>
    <w:p>
      <w:r>
        <w:t>Das Gesuch um aufschiebende Wirkung der Beschwerde wird mit dem heutigen Urteil gegenstandslos.</w:t>
      </w:r>
    </w:p>
    <w:p>
      <w:r>
        <w:rPr>
          <w:b/>
        </w:rPr>
        <w:t>E. 4</w:t>
      </w:r>
    </w:p>
    <w:p>
      <w:r>
        <w:t>Ausgangsgemäss hat die beschwerdeführende IV-Stelle die Gerichtskosten zu tragen ( Art. 66 Abs. 1 BGG ) und dem Beschwerdegegner eine Parteientschädigung zu bezahlen ( Art. 68 Abs. 2 BGG ). Das geringfügige Obsiegen der Beschwerdeführerin bildet weder Anlass für eine andere Verteilung der Gerichtskosten noch für eine Reduktion der Parteientschädigung. Deren Höhe richtet sich - entgegen der Auffassung des Beschwerdegegners - nicht nach dem Streitwert ( Art. 68 Abs. 2 BGG ; Art. 6 des Reglements über die Parteientschädigung und die Entschädigung für die amtliche Vertretung im Verfahren vor dem Bundesgericht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