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9C_34/2016 vom 14. September 2016</w:t>
      </w:r>
    </w:p>
    <w:p>
      <w:r>
        <w:t>Bundesgericht, 2016-09-14, FR</w:t>
      </w:r>
    </w:p>
    <w:p>
      <w:r>
        <w:rPr>
          <w:b/>
        </w:rPr>
        <w:t xml:space="preserve">Quelle: </w:t>
      </w:r>
      <w:r>
        <w:t>https://mcp.opencaselaw.ch/entscheid/bger_9C_34_2016</w:t>
      </w:r>
    </w:p>
    <w:p>
      <w:r>
        <w:t>FR: TF 9C_34/2016 du 14 septembre 2016</w:t>
      </w:r>
    </w:p>
    <w:p>
      <w:r>
        <w:t>IT: TF 9C_34/2016 del 14 settembre 2016</w:t>
      </w:r>
    </w:p>
    <w:p>
      <w:pPr>
        <w:pStyle w:val="Heading2"/>
      </w:pPr>
      <w:r>
        <w:t>Erwägungen</w:t>
      </w:r>
    </w:p>
    <w:p>
      <w:r>
        <w:rPr>
          <w:b/>
        </w:rPr>
        <w:t>E. 1</w:t>
      </w:r>
    </w:p>
    <w:p>
      <w:r>
        <w:t>Le litige porte sur le droit de l'intimée à une rente de l'assurance-invalidité, singulièrement sur l'évaluation du degré d'invalidité dans la sphère professionnelle dans le cadre de la méthode mixte d'évaluation de l'invalidité.</w:t>
      </w:r>
    </w:p>
    <w:p>
      <w:r>
        <w:t>Les conclusions de l'intimée tendant au versement du quart de rente à partir du 1</w:t>
      </w:r>
    </w:p>
    <w:p>
      <w:r>
        <w:t>er avril 2013 sont irrecevables. En effet, elles sont tardives ( art. 100 al. 1 LTF ) et l'intimée n'a pas d'intérêt digne de protection à obtenir moins que ce que la juridiction de recours de première instance lui a alloué ( art. 89 al. 1 let . c LTF).</w:t>
      </w:r>
    </w:p>
    <w:p>
      <w:r>
        <w:t>Les premiers juges ont exposé les règles applicables à la solution du litige, si bien qu'il suffit de renvoyer au jugement attaqué (consid. 6 p. 23).</w:t>
      </w:r>
    </w:p>
    <w:p>
      <w:r>
        <w:rPr>
          <w:b/>
        </w:rPr>
        <w:t>E. 2.1</w:t>
      </w:r>
    </w:p>
    <w:p>
      <w:r>
        <w:t>La juridiction cantonale a constaté que l'intimée a un statut de personne active à 80 % (consid. 9 p. 25 du jugement attaqué). Elle a aussi constaté que la capacité de travail est de 50 % dans une activité lucrative adaptée, tandis que les empêchements à accomplir les travaux ménagers s'élèvent à 40 % (consid. 12 p. 27 in fine du jugement attaqué).</w:t>
      </w:r>
    </w:p>
    <w:p>
      <w:r>
        <w:t>Les juges cantonaux se sont référés au ch. 3101 de la Circulaire de l'OFAS sur l'invalidité et l'impotence dans l'assurance-invalidité (CIIAI). Cette directive prescrit aux organes de l'AI de déterminer le taux d'invalidité comme suit lorsque la méthode mixte est appliquée:</w:t>
      </w:r>
    </w:p>
    <w:p>
      <w:r>
        <w:t>E x lE + ([EZ - E] x H)</w:t>
      </w:r>
    </w:p>
    <w:p>
      <w:r>
        <w:t>----------------------------- = Taux d'invalidité en %</w:t>
      </w:r>
    </w:p>
    <w:p>
      <w:r>
        <w:t>EZ</w:t>
      </w:r>
    </w:p>
    <w:p>
      <w:r>
        <w:t>E = travail fourni par l'assuré en tant que personne non invalide exerçant une activité lucrative, en heures par semaine</w:t>
      </w:r>
    </w:p>
    <w:p>
      <w:r>
        <w:t>lE = handicap rencontré par la personne exerçant une activité lucrative, en %</w:t>
      </w:r>
    </w:p>
    <w:p>
      <w:r>
        <w:t>EZ = durée de travail normale des personnes exerçant une activité lucrative à plein temps dans la branche d'activité concernée, en heures par semaine</w:t>
      </w:r>
    </w:p>
    <w:p>
      <w:r>
        <w:t>H = handicap rencontré dans le ménage, en %</w:t>
      </w:r>
    </w:p>
    <w:p>
      <w:r>
        <w:t>Considérant que le travail fourni par l'intimée en tant que personne non invalide exerçant une activité lucrative atteignait 32 heures par semaine et que la durée normale du travail des personnes travaillant à plein temps dans la branche d'activité était de 40 heures, les premiers juges ont établi le taux d'invalidité de l'intimée à 40 %, résultant du calcul suivant:</w:t>
      </w:r>
    </w:p>
    <w:p>
      <w:r>
        <w:t>32 heures x 40% + [ (40 heures - 32 heures)] x 40%</w:t>
      </w:r>
    </w:p>
    <w:p>
      <w:r>
        <w:t>------------------------------------------------------------------- = 40%</w:t>
      </w:r>
    </w:p>
    <w:p>
      <w:r>
        <w:t>40 heures</w:t>
      </w:r>
    </w:p>
    <w:p>
      <w:r>
        <w:rPr>
          <w:b/>
        </w:rPr>
        <w:t>E. 2.2</w:t>
      </w:r>
    </w:p>
    <w:p>
      <w:r>
        <w:t>L'office recourant soutient que la prise en compte d'une incapacité de travail de 40 % dans la sphère professionnelle découle d'une violation du droit fédéral. Compte tenu du fait que l'intimée aurait travaillé à 80 % d'un horaire à temps complet si elle avait été bonne santé, soit 32 heures par semaine, et qu'elle n'est plus en mesure de travailler que 20 heures par semaine en raison de son handicap qui limite sa capacité de travail à 50 %, le recourant est d'avis que l'empêchement dans la sphère lucrative est bien de 38 % (recte: 37,5 %) et non de 40 %, puisque le rapport entre 20 heures et 32 heures est de 62 % (recte: 62,5 %). Ce taux induit un degré d'invalidité de 30 % dans la sphère lucrative (80 % de 37,5 % = 30 %). En l'additionnant au taux d'invalidité de 8 % dans les travaux ménagers (20 % de 40 % = 8 %), le degré d'invalidité global est ainsi de 38 %.</w:t>
      </w:r>
    </w:p>
    <w:p>
      <w:r>
        <w:rPr>
          <w:b/>
        </w:rPr>
        <w:t>E. 2.3</w:t>
      </w:r>
    </w:p>
    <w:p>
      <w:r>
        <w:t>Quant à l'intimée, elle estime que la solution adoptée dans le jugement attaqué (l'octroi d'un quart de rente) doit être confirmée par substitution de motifs, car son taux d'invalidité est de 48 % ou 49 % selon les calculs qu'elle propose.</w:t>
      </w:r>
    </w:p>
    <w:p>
      <w:r>
        <w:rPr>
          <w:b/>
        </w:rPr>
        <w:t>E. 3.1</w:t>
      </w:r>
    </w:p>
    <w:p>
      <w:r>
        <w:t>De manière à lier le Tribunal fédéral ( art. 105 al. 1 LTF ), la juridiction cantonale a constaté que l'intimée présente une capacité de travail de 50 % en raison des atteintes somatiques et psychiques dont elle souffre. On doit admettre que l'intimée ne peut ainsi effectuer que 20 heures de travail salarié par semaine, ce qui correspond à la moitié d'un horaire de travail ordinaire à plein temps de 40 heures. A cet égard, il sied de rappeler que les pourcentages d'incapacités de travail se rapportent en principe à une activité professionnelle exercée à plein temps, pour autant que les médecins ne précisent pas expressément - ce qui n'est pas le cas ici - qu'ils se réfèrent à un travail à temps partiel ou que cela ne ressorte du contexte d'une manière claire (cf. arrêt 9C_648/2010 du 10 août 2011 consid. 3.6.3 et les références). En bonne santé, l'intimée n'aurait donc accompli que 32 heures de travail hebdomadaires dans le cadre d'un emploi à 80 %, les 20 % restants étant consacrés à la tenue de son ménage (consid. 2.1 supra).</w:t>
      </w:r>
    </w:p>
    <w:p>
      <w:r>
        <w:rPr>
          <w:b/>
        </w:rPr>
        <w:t>E. 3.2</w:t>
      </w:r>
    </w:p>
    <w:p>
      <w:r>
        <w:t>A l'instar de l'affaire qui avait donné lieu à l'arrêt publié aux ATF 137 V 334 (consid. 7.1 p. 350), l'intimée rencontre un handicap de 37,5 % (50 % de 80 %) dans l'exercice de l'activité professionnelle, ce qui correspond à une incapacité de gain et non à une incapacité de travail comme la juridiction cantonale l'a retenu (cf. consid. 13 p. 28 du jugement attaqué); c'est en ce sens qu'il faut comprendre la variable IE (ch. 3101 CIIAI). En tenant compte du taux de 37,5 % (la pertinence des autres données n'étant pas contestée), le calcul de l'invalidité doit se faire comme suit:</w:t>
      </w:r>
    </w:p>
    <w:p>
      <w:r>
        <w:t>32 heures x 37,5% + [ (40 heures - 32 heures)] x 40%</w:t>
      </w:r>
    </w:p>
    <w:p>
      <w:r>
        <w:t>---------------------------------------------------------------------- = 38%</w:t>
      </w:r>
    </w:p>
    <w:p>
      <w:r>
        <w:t>40 heures</w:t>
      </w:r>
    </w:p>
    <w:p>
      <w:r>
        <w:t>On ajoutera qu'il n'y a pas de raison de s'étendre sur la question de l'application de la méthode mixte au cas d'espèce, d'autant que celle-ci n'est pas remise en cause.</w:t>
      </w:r>
    </w:p>
    <w:p>
      <w:r>
        <w:t>Compte tenu du taux d'invalidité de 38 %, la décision du 10 janvier 2014 refusant le versement d'une rente doit être confirmée ( art. 28 al. 2 LAI ). Le recours est bien fondé.</w:t>
      </w:r>
    </w:p>
    <w:p>
      <w:r>
        <w:rPr>
          <w:b/>
        </w:rPr>
        <w:t>E. 4</w:t>
      </w:r>
    </w:p>
    <w:p>
      <w:r>
        <w:t>L'intimée,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