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9C_34/2014 vom 1. Mai 2014</w:t>
      </w:r>
    </w:p>
    <w:p>
      <w:r>
        <w:t>Bundesgericht, 2014-05-01, FR</w:t>
      </w:r>
    </w:p>
    <w:p>
      <w:r>
        <w:rPr>
          <w:b/>
        </w:rPr>
        <w:t xml:space="preserve">Quelle: </w:t>
      </w:r>
      <w:r>
        <w:t>https://mcp.opencaselaw.ch/entscheid/bger_9C_34_2014</w:t>
      </w:r>
    </w:p>
    <w:p>
      <w:r>
        <w:t>FR: TF 9C_34/2014 du 1 mai 2014</w:t>
      </w:r>
    </w:p>
    <w:p>
      <w:r>
        <w:t>IT: TF 9C_34/2014 del 1 maggio 2014</w:t>
      </w:r>
    </w:p>
    <w:p>
      <w:pPr>
        <w:pStyle w:val="Heading2"/>
      </w:pPr>
      <w:r>
        <w:t>Erwägungen</w:t>
      </w:r>
    </w:p>
    <w:p>
      <w:r>
        <w:rPr>
          <w:b/>
        </w:rPr>
        <w:t>E. 1</w:t>
      </w:r>
    </w:p>
    <w:p>
      <w:r>
        <w:t>Le mémoire de recours est constitué de deux parties. Dans la première (pages 1 à 3), le recourant rappelle les faits essentiels qui ont abouti au jugement attaqué du 18 novembre 2013. Dans la seconde partie (pages 4 à 6), il expose les motifs qui l'amènent à recourir contre ce jugement. Le recourant invoque une violation du droit fédéral au sens de l' art. 95 let. a LTF , y compris par la constatation inexacte et incomplète des faits pertinents selon l' art. 97 LTF , l'arbitraire au sens de l' art. 9 Cst. et la violation de son droit d'être entendu au sens de l' art. 29 al. 2 Cst.</w:t>
      </w:r>
    </w:p>
    <w:p>
      <w:r>
        <w:t>En pages 4 à 6 de son mémoire, le recourant reprend toutefois quasiment mot pour mot l'argumentation qu'il avait développée le 10 février 2012 dans son recours cantonal (III. Moyens, B. Modification de la situation, pages 7 à 10). Il conclut son exposé en déclarant qu'il est totalement arbitraire que le Tribunal cantonal ait rejeté son recours en estimant qu'il n'avait pas rendu plausible l'aggravation de son état de santé; par ailleurs que cette autorité aurait violé son droit d'être entendu en ne tenant pas compte des pièces produites postérieurement à la décision attaquée (p. 6).</w:t>
      </w:r>
    </w:p>
    <w:p>
      <w:r>
        <w:rPr>
          <w:b/>
        </w:rPr>
        <w:t>E. 2.1</w:t>
      </w:r>
    </w:p>
    <w:p>
      <w:r>
        <w:t>Conformément à l' art. 42 al. 1 et 2 LTF , les motifs que doit contenir tout mémoire de recours doivent exposer succinctement en quoi l'arrêt attaqué viole le droit fédéral. Il doit exister un lien entre la motivation et la décision attaquée (arrêt 4A_72/2007 du 22 août 2007 consid. 4.1.1). Lorsque le mémoire de recours consiste à reprendre devant le Tribunal fédéral, mot pour mot, la même motivation que celle présentée devant l'instance inférieure, un tel lien n'existe pas et le recours est inadmissible sous l'angle de l' art. 42 al. 2 LTF ( ATF 134 II 244 consid. 2.3 p. 246 s.; arrêts 1C_257/2013 du 13 janvier 2014 consid. 3.1, 9C_814/2011 du 27 janvier 2012).</w:t>
      </w:r>
    </w:p>
    <w:p>
      <w:r>
        <w:rPr>
          <w:b/>
        </w:rPr>
        <w:t>E. 2.2</w:t>
      </w:r>
    </w:p>
    <w:p>
      <w:r>
        <w:t>A l'examen du dossier, les premiers juges ont considéré qu'aucun rapport médical ne rendait plausible une modification de l'état de santé du recourant depuis la décision de l'intimé du 12 mars 2009. Ils ont dès lors admis que ce dernier était fondé, sur la base des indications médicales qui lui avaient été transmises, à refuser d'entrer en matière sur la nouvelle demande de prestations.</w:t>
      </w:r>
    </w:p>
    <w:p>
      <w:r>
        <w:t>Dans son discours, le recourant ne répond pas à la motivation retenue par la juridiction de recours de première instance. Si l'on peut inférer du mémoire de recours que le recourant n'est pas d'accord avec le refus d'entrer en matière (cf. art. 87 al. 2 et 3 RAI ), il ne présente cependant aucune nouvelle argumentation dont le Tribunal fédéral pourrait déduire en quoi les constatations des premiers juges seraient manifestement inexactes (au sens de l' art. 97 al. 1 LTF ), ni en quoi l'acte attaqué serait contraire au droit.</w:t>
      </w:r>
    </w:p>
    <w:p>
      <w:r>
        <w:t>Par ailleurs, la juridiction cantonale a indiqué les raisons pour lesquelles le rapport du docteur B.________ du 4 février 2012, postérieur à la décision administrative du 10 janvier 2012, ne pouvait pas être pris en considération pour en examiner la légalité. Or sur ce point, le recourant n'expose pas davantage, même succinctement, en quoi les juges cantonaux auraient violé le droit fédéral et singulièrement son droit d'être entendu (p. 6 du recours).</w:t>
      </w:r>
    </w:p>
    <w:p>
      <w:r>
        <w:rPr>
          <w:b/>
        </w:rPr>
        <w:t>E. 3</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