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9C_34/2010 vom 9. Juli 2010</w:t>
      </w:r>
    </w:p>
    <w:p>
      <w:r>
        <w:t>Bundesgericht, 2010-07-09, FR</w:t>
      </w:r>
    </w:p>
    <w:p>
      <w:r>
        <w:rPr>
          <w:b/>
        </w:rPr>
        <w:t xml:space="preserve">Quelle: </w:t>
      </w:r>
      <w:r>
        <w:t>https://mcp.opencaselaw.ch/entscheid/bger_9C_34_2010</w:t>
      </w:r>
    </w:p>
    <w:p>
      <w:r>
        <w:t>FR: TF 9C_34/2010 du 9 juillet 2010</w:t>
      </w:r>
    </w:p>
    <w:p>
      <w:r>
        <w:t>IT: TF 9C_34/2010 del 9 luglio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L'office recourant reproche essentiellement aux premiers juges d'avoir violé les principes régissant l'appréciation des preuves. Il soutient plus particulièrement que ceux-ci ne pouvaient pas décider la mise en oeuvre d'une expertise pour compléter les rapports des médecins traitants puis fonder leur jugement uniquement sur ces derniers documents, au motif que ladite expertise était insatisfaisante. Il considère que ces circonstances auraient dû amener la juridiction cantonale à demander un complément d'expertise ou une surexpertise.</w:t>
      </w:r>
    </w:p>
    <w:p>
      <w:r>
        <w:rPr>
          <w:b/>
        </w:rPr>
        <w:t>E. 3</w:t>
      </w:r>
    </w:p>
    <w:p>
      <w:r>
        <w:t>Conformément à ce que suggère l'administration, il peut effectivement paraître contradictoire de décider la mise en oeuvre d'une expertise judiciaire puis de l'écarter au profit des documents médicaux récoltés au cours de la procédure administrative antérieure. La jurisprudence correctement citée par les premiers juges ( ATF 125 V 351 consid. 3b/aa p. 352 sv.) mentionne cependant la possibilité de se départir d'une telle expertise et énumère les motifs qui autorisent à le faire. Il s'agit en particulier de l'existence de contradictions, d'une surexpertise ou d'opinions contraires de spécialistes en infirmant sérieusement les conclusions.</w:t>
      </w:r>
    </w:p>
    <w:p>
      <w:r>
        <w:rPr>
          <w:b/>
        </w:rPr>
        <w:t>E. 4.1</w:t>
      </w:r>
    </w:p>
    <w:p>
      <w:r>
        <w:t>Même si les raisons qui ont conduit les premiers juges à ordonner la réalisation d'une expertise judiciaire ne ressortent pas de la décision qui l'institue, ni du mandat confié à l'expert, on ne voit en l'espèce pas quel autre motif que l'absence ou le manque d'informations médicales suffisamment pertinentes pour trancher immédiatement la question litigieuse aurait pu justifier une telle démarche. Dans ces circonstances, les rapports des docteurs M.________, C.________ et B.________ ne devraient en principe pas avoir valeur d'opinion contraire infirmant sérieusement le rapport du docteur H.________, au sens de la jurisprudence citée, dès lors que les premiers rapports ne critiquent pas directement le second, puisqu'ils ont été produits antérieurement à ce dernier, et que leur caractère lacunaire semble justement avoir motivé la mise en oeuvre de celle-ci. Un changement d'avis quant à la valeur des pièces médicales de la part de la juridiction cantonale est néanmoins concevable et ne saurait, en soi, justifier une violation du droit fédéral contrairement à ce que semble croire l'office recourant. Il se peut en effet que certains éléments de preuve aient été évalués plus sommairement au moment de décider si une mesure complémentaire d'instruction était nécessaire qu'au moment d'analyser les documents à disposition pour trancher la question litigieuse. Ce changement d'avis nécessite cependant une motivation claire compte tenu des considérations exposées ci-dessus.</w:t>
      </w:r>
    </w:p>
    <w:p>
      <w:r>
        <w:rPr>
          <w:b/>
        </w:rPr>
        <w:t>E. 4.2</w:t>
      </w:r>
    </w:p>
    <w:p>
      <w:r>
        <w:t>L'office recourant ne développe pas plus avant ses griefs (cf. art. 42 al. 2 LTF ); il convient toutefois d'examiner d'office si les motifs retenus par l'autorité de première instance pour écarter le rapport du docteur H.________ ne violent pas le droit fédéral (cf. consid. 1).</w:t>
      </w:r>
    </w:p>
    <w:p>
      <w:r>
        <w:rPr>
          <w:b/>
        </w:rPr>
        <w:t>E. 4.2.1</w:t>
      </w:r>
    </w:p>
    <w:p>
      <w:r>
        <w:t>Les premiers juges ont substantiellement retenu que les constatations des médecins traitants devaient prévaloir sur celles de l'expert et que, par conséquent, l'intimé présentait une incapacité totale de travail dans toute activité depuis 2001 au moins. Cette appréciation reposait sur plusieurs critères: les conditions d'examen régnant au moment de la réalisation de l'expertise auraient été altérées par la présence de l'encéphalopathie, ce qui se traduisait concrètement par un status psychiatrique sommaire; le docteur H.________ aurait basé son rapport sur un unique entretien avec l'assuré, un entretien téléphonique avec l'ex-épouse (recte: l'épouse) et les médecins traitants de celui-ci et l'étude du dossier, alors que le travail du docteur M.________ reposait sur des observations réalisées durant trois ans; l'expert aurait mentionné de possibles imprécisions et des difficultés à reconstituer l'histoire de l'intimé ou à recenser les plaintes de ce dernier en raison de l'atteinte intellectuelle dont il souffrait à cette époque; l'expert aurait également relevé les limites de la classification des toxicomanies dans la mesure où celle-ci était tributaire des informations communiquées par le patient; certains points n'auraient pas été discutés ou certaines affirmations n'auraient pas été motivées.</w:t>
      </w:r>
    </w:p>
    <w:p>
      <w:r>
        <w:rPr>
          <w:b/>
        </w:rPr>
        <w:t>E. 4.2.2</w:t>
      </w:r>
    </w:p>
    <w:p>
      <w:r>
        <w:t>Bien que nombreux, ces éléments ne justifient pas de se distancier de l'expertise, ni ne démontrent en quoi les rapports des médecins traitants seraient plus pertinents.</w:t>
      </w:r>
    </w:p>
    <w:p>
      <w:r>
        <w:t>En effet, lesdits éléments portent sur des points annexes et non sur le fond. Ils n'illustrent pas des contradictions, des incohérences ou des lacunes qui affaibliraient la valeur de l'expertise mais mettent en évidence les précautions prises par l'expert dans la réalisation de son travail afin d'éviter que les circonstances particulières ne faussent ses conclusions. Ils constituent des généralités, pour la plupart sans fondement, qui n'ont aucune valeur démonstrative. Ils ne remettent aucunement en question l'appréciation diagnostique et assécurologique de neuf pages faite par le docteur H.________, mais ne font que référence à des détails formels qui ne peuvent être considérés comme des critères permettant de juger de la valeur d'un document médical.</w:t>
      </w:r>
    </w:p>
    <w:p>
      <w:r>
        <w:t>Ainsi, malgré les difficultés à récolter des informations auprès de l'assuré en raison de l'existence de l'encéphalopathie hépatique et ses symptômes neuropsychologiques, l'expert a complété les données disponibles en s'entretenant avec les personnes proches de l'intimé (l'épouse et les médecins traitants) et en analysant l'intégralité du dossier fourni, ce qui correspond précisément au rôle dévolu par la jurisprudence à un expert (analyse neutre, ponctuelle et détaillée d'un cas particulier; cf. ATF 125 V 351 cité) à qui on ne peut donc pas reprocher de ne pas se fonder sur un suivi de plusieurs années. On ne peut pas davantage faire grief au docteur H.________ d'avoir évoqué les limites - reconnues par la doctrine médicale - de la classification des toxicomanies sans même discuter l'appréciation concrète qui en a été faite. On ne peut pas non plus extraire de leur contexte deux phrases conclusives (les troubles retenus n'ont pas valeur incapacitante en soi; tout porte par conséquent à penser que cet assuré aurait pu rester normalement intégré dans le monde du travail et présenter une pathologie psychiatrique moins sévère s'il n'y avait pas eu une dépendance alcoolique) comprises dans une appréciation circonstanciée de neuf pages et se contenter d'affirmer, sans plus ample argumentation, que celles-ci ne sont pas motivées ou sont «gratuites».</w:t>
      </w:r>
    </w:p>
    <w:p>
      <w:r>
        <w:rPr>
          <w:b/>
        </w:rPr>
        <w:t>E. 4.3</w:t>
      </w:r>
    </w:p>
    <w:p>
      <w:r>
        <w:t>Il ressort donc de ce qui précède que les critères invoqués par la juridiction cantonale ne constituent pas des motifs suffisants, ni même valables, pour s'écarter du rapport d'expertise au sens de la jurisprudence citée. On ajoutera encore que le seul fait d'évincer un rapport médical ne suffit pas à rendre probants ceux qui restent et font état d'un avis contraire. Il faut encore procéder à une analyse fondamentale du contenu de ces derniers et pas seulement s'arrêter à des critères formels (la mention de l'existence d'une anamnèse claire et complète, la prise en compte des plaintes, la présence d'une description du contexte médical intelligible et de conclusions convaincantes et bien motivées). Cette analyse, qui fait entièrement défaut en l'espèce, se justifie d'autant plus que l'existence d'une encéphalopathie hépatique totalement incapacitante au moment de l'expertise et non contestée semble démontrer que l'influence de la problématique alcoolique, qui n'entrait pas en ligne de compte pour les médecins traitants, existe et a toujours existé.</w:t>
      </w:r>
    </w:p>
    <w:p>
      <w:r>
        <w:t>Il apparaît ainsi que leur appréciation des preuves a conduit les premiers juges à violer le droit fédéral en ne respectant pas les conditions nécessaires pour écarter un rapport d'expertise judiciaire et pour évaluer la valeur de documents médicaux. En l'absence de constatations valables sur ce point, il convient d'annuler le jugement cantonale et de renvoyer la cause à la juridiction de première instance pour qu'elle y procède, au besoin en complétant l'instruction, et rende un nouveau jugement.</w:t>
      </w:r>
    </w:p>
    <w:p>
      <w:r>
        <w:rPr>
          <w:b/>
        </w:rPr>
        <w:t>E. 5</w:t>
      </w:r>
    </w:p>
    <w:p>
      <w:r>
        <w:t>Vu l'issue du litige, les frais judiciaires sont mis à la charge de l'intimé ( art. 66 al. 1 LTF ) qui ne peut prétendre des dépens ( art. 68 LTF ). Cependant, les conditions auxquelles l' art. 64 al. 1 et 2 LTF subordonne l'octroi de l'assistance judiciaire gratuite étant réalisées, celle-ci lui a été accordée par ordonnance du 18 mars 2010. L'attention de l'assuré est encore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