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9C_349/2018 vom 14. Mai 2018</w:t>
      </w:r>
    </w:p>
    <w:p>
      <w:r>
        <w:t>Bundesgericht, 2018-05-14, DE</w:t>
      </w:r>
    </w:p>
    <w:p>
      <w:r>
        <w:rPr>
          <w:b/>
        </w:rPr>
        <w:t xml:space="preserve">Quelle: </w:t>
      </w:r>
      <w:r>
        <w:t>https://mcp.opencaselaw.ch/entscheid/bger_9C_349_2018</w:t>
      </w:r>
    </w:p>
    <w:p>
      <w:r>
        <w:t>FR: TF 9C_349/2018 du 14 mai 2018</w:t>
      </w:r>
    </w:p>
    <w:p>
      <w:r>
        <w:t>IT: TF 9C_349/2018 del 14 maggio 2018</w:t>
      </w:r>
    </w:p>
    <w:p>
      <w:pPr>
        <w:pStyle w:val="Heading2"/>
      </w:pPr>
      <w:r>
        <w:t>Volltext</w:t>
      </w:r>
    </w:p>
    <w:p>
      <w:r>
        <w:t>Bundesgericht</w:t>
      </w:r>
    </w:p>
    <w:p>
      <w:r>
        <w:t>Tribunal fédéral</w:t>
      </w:r>
    </w:p>
    <w:p>
      <w:r>
        <w:t>Tribunale federale</w:t>
      </w:r>
    </w:p>
    <w:p>
      <w:r>
        <w:t>Tribunal federal</w:t>
      </w:r>
    </w:p>
    <w:p>
      <w:r>
        <w:t>9C_349/2018</w:t>
      </w:r>
    </w:p>
    <w:p>
      <w:r>
        <w:t>Urteil vom 14. Mai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w:t>
      </w:r>
    </w:p>
    <w:p>
      <w:r>
        <w:t>des Bundesverwaltungsgerichts</w:t>
      </w:r>
    </w:p>
    <w:p>
      <w:r>
        <w:t>vom 21. Februar 2018 (C-6272/2017).</w:t>
      </w:r>
    </w:p>
    <w:p>
      <w:r>
        <w:t>Nach Einsicht</w:t>
      </w:r>
    </w:p>
    <w:p>
      <w:r>
        <w:t>in die Beschwerde vom 20. März 2018 (Poststempel) gegen den Entscheid des Bundesverwaltungsgerichts, Abteilung III, vom 21. Februar 2018, mit welchem dieses auf die Beschwerde des A.________ mangels Leistung des Kostenvorschusses innert Frist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Beschwerdeschrift weder auf das vorinstanzliche Nichteintreten bezogene Anträge noch eine Auseinandersetzung mit den massgebenden Erwägungen der Vorinstanz betreffend die Nichteinhaltung der für die Bezahlung des Kostenvorschusses gesetzten Frist enthält, sondern sich lediglich zur materiellen Seite äussert,</w:t>
      </w:r>
    </w:p>
    <w:p>
      <w:r>
        <w:t>dass sie damit den inhaltlichen Mindestanforderungen von Art. 42 Abs. 1 und 2 BGG offensichtlich nicht genügt, da ihr nichts entnommen werden kann, was darauf hindeutete, dass die vorinstanzliche Sachverhaltsfeststellung betreffend die Nichtbezahlung des Kostenvorschusses unzutreffend im Sinne von Art. 97 Abs. 1 BGG und die darauf beruhenden Erwägungen rechtsfehlerhaft sein sollten,</w:t>
      </w:r>
    </w:p>
    <w:p>
      <w:r>
        <w:t>dass deshalb im vereinfachten Verfahren nach Art. 108 Abs. 1 lit. a und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14. Mai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